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CB" w:rsidRPr="00843764" w:rsidRDefault="006B4B79" w:rsidP="00A63BCB">
      <w:pPr>
        <w:jc w:val="center"/>
        <w:rPr>
          <w:b/>
          <w:color w:val="2F5496" w:themeColor="accent5" w:themeShade="BF"/>
          <w:sz w:val="28"/>
        </w:rPr>
      </w:pPr>
      <w:r w:rsidRPr="00843764">
        <w:rPr>
          <w:b/>
          <w:color w:val="2F5496" w:themeColor="accent5" w:themeShade="BF"/>
          <w:sz w:val="28"/>
        </w:rPr>
        <w:t xml:space="preserve">NIH </w:t>
      </w:r>
      <w:r w:rsidR="00262E55" w:rsidRPr="00843764">
        <w:rPr>
          <w:b/>
          <w:color w:val="2F5496" w:themeColor="accent5" w:themeShade="BF"/>
          <w:sz w:val="28"/>
        </w:rPr>
        <w:t xml:space="preserve">Strategic Workforce Planning </w:t>
      </w:r>
      <w:r w:rsidR="00A63BCB" w:rsidRPr="00843764">
        <w:rPr>
          <w:b/>
          <w:color w:val="2F5496" w:themeColor="accent5" w:themeShade="BF"/>
          <w:sz w:val="28"/>
        </w:rPr>
        <w:t>Status</w:t>
      </w:r>
      <w:r w:rsidR="00262E55" w:rsidRPr="00843764">
        <w:rPr>
          <w:b/>
          <w:color w:val="2F5496" w:themeColor="accent5" w:themeShade="BF"/>
          <w:sz w:val="28"/>
        </w:rPr>
        <w:t xml:space="preserve"> Assessment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  <w:tblCaption w:val="Status Assesment"/>
        <w:tblDescription w:val="Status Assesment"/>
      </w:tblPr>
      <w:tblGrid>
        <w:gridCol w:w="6835"/>
        <w:gridCol w:w="900"/>
        <w:gridCol w:w="810"/>
        <w:gridCol w:w="720"/>
        <w:gridCol w:w="810"/>
        <w:gridCol w:w="990"/>
      </w:tblGrid>
      <w:tr w:rsidR="00142334" w:rsidRPr="000C6AE5" w:rsidTr="001D2E0A">
        <w:trPr>
          <w:trHeight w:val="290"/>
          <w:tblHeader/>
        </w:trPr>
        <w:tc>
          <w:tcPr>
            <w:tcW w:w="6835" w:type="dxa"/>
            <w:shd w:val="clear" w:color="auto" w:fill="5B9BD5" w:themeFill="accent1"/>
          </w:tcPr>
          <w:p w:rsidR="00142334" w:rsidRPr="000C6AE5" w:rsidRDefault="00142334" w:rsidP="00142334">
            <w:pPr>
              <w:rPr>
                <w:b/>
                <w:color w:val="FFFFFF" w:themeColor="background1"/>
                <w:sz w:val="24"/>
              </w:rPr>
            </w:pPr>
            <w:r w:rsidRPr="000C6AE5">
              <w:rPr>
                <w:b/>
                <w:color w:val="FFFFFF" w:themeColor="background1"/>
                <w:sz w:val="24"/>
              </w:rPr>
              <w:t>Strategic Workforce Planning Act</w:t>
            </w:r>
            <w:r>
              <w:rPr>
                <w:b/>
                <w:color w:val="FFFFFF" w:themeColor="background1"/>
                <w:sz w:val="24"/>
              </w:rPr>
              <w:t>ivities</w:t>
            </w:r>
            <w:r w:rsidRPr="000C6AE5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3240" w:type="dxa"/>
            <w:gridSpan w:val="4"/>
            <w:shd w:val="clear" w:color="auto" w:fill="5B9BD5" w:themeFill="accent1"/>
          </w:tcPr>
          <w:p w:rsidR="00142334" w:rsidRPr="000C6AE5" w:rsidRDefault="00142334" w:rsidP="0014233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F8501D">
              <w:rPr>
                <w:b/>
                <w:color w:val="FFFFFF" w:themeColor="background1"/>
                <w:sz w:val="20"/>
              </w:rPr>
              <w:t xml:space="preserve">Status: Is my organization </w:t>
            </w:r>
            <w:r>
              <w:rPr>
                <w:b/>
                <w:color w:val="FFFFFF" w:themeColor="background1"/>
                <w:sz w:val="20"/>
              </w:rPr>
              <w:br/>
            </w:r>
            <w:r w:rsidRPr="00F8501D">
              <w:rPr>
                <w:b/>
                <w:color w:val="FFFFFF" w:themeColor="background1"/>
                <w:sz w:val="20"/>
              </w:rPr>
              <w:t>doing this?</w:t>
            </w:r>
          </w:p>
        </w:tc>
        <w:tc>
          <w:tcPr>
            <w:tcW w:w="990" w:type="dxa"/>
            <w:vMerge w:val="restart"/>
            <w:shd w:val="clear" w:color="auto" w:fill="538135" w:themeFill="accent6" w:themeFillShade="BF"/>
            <w:vAlign w:val="center"/>
          </w:tcPr>
          <w:p w:rsidR="00142334" w:rsidRPr="00F8501D" w:rsidRDefault="00142334" w:rsidP="0014233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Check Your Top 3 – 5 Priorities</w:t>
            </w:r>
          </w:p>
        </w:tc>
      </w:tr>
      <w:tr w:rsidR="00142334" w:rsidTr="001D2E0A">
        <w:trPr>
          <w:trHeight w:val="728"/>
          <w:tblHeader/>
        </w:trPr>
        <w:tc>
          <w:tcPr>
            <w:tcW w:w="6835" w:type="dxa"/>
          </w:tcPr>
          <w:p w:rsidR="00142334" w:rsidRPr="001D4AA2" w:rsidRDefault="00142334" w:rsidP="00142334">
            <w:pPr>
              <w:rPr>
                <w:sz w:val="24"/>
              </w:rPr>
            </w:pPr>
            <w:r w:rsidRPr="00843764">
              <w:rPr>
                <w:color w:val="2F5496" w:themeColor="accent5" w:themeShade="BF"/>
              </w:rPr>
              <w:t xml:space="preserve">Instructions: </w:t>
            </w:r>
            <w:r>
              <w:rPr>
                <w:color w:val="2F5496" w:themeColor="accent5" w:themeShade="BF"/>
              </w:rPr>
              <w:t>Complete</w:t>
            </w:r>
            <w:r w:rsidRPr="00843764">
              <w:rPr>
                <w:color w:val="2F5496" w:themeColor="accent5" w:themeShade="BF"/>
              </w:rPr>
              <w:t xml:space="preserve"> the status assessment for each activity below,</w:t>
            </w:r>
            <w:r>
              <w:rPr>
                <w:color w:val="2F5496" w:themeColor="accent5" w:themeShade="BF"/>
              </w:rPr>
              <w:t xml:space="preserve"> then</w:t>
            </w:r>
            <w:r w:rsidRPr="00843764">
              <w:rPr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  <w:u w:val="single"/>
              </w:rPr>
              <w:t xml:space="preserve">check </w:t>
            </w:r>
            <w:r w:rsidRPr="00F8501D">
              <w:rPr>
                <w:b/>
                <w:color w:val="2F5496" w:themeColor="accent5" w:themeShade="BF"/>
                <w:u w:val="single"/>
              </w:rPr>
              <w:t>the top 3-5 priority activities</w:t>
            </w:r>
            <w:r w:rsidRPr="00843764">
              <w:rPr>
                <w:color w:val="2F5496" w:themeColor="accent5" w:themeShade="BF"/>
              </w:rPr>
              <w:t xml:space="preserve"> that may dictate next steps based on your organization’s current needs and potential workforce risks.</w:t>
            </w:r>
          </w:p>
        </w:tc>
        <w:tc>
          <w:tcPr>
            <w:tcW w:w="900" w:type="dxa"/>
          </w:tcPr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1</w:t>
            </w:r>
          </w:p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Strongly Disagree</w:t>
            </w:r>
          </w:p>
        </w:tc>
        <w:tc>
          <w:tcPr>
            <w:tcW w:w="810" w:type="dxa"/>
          </w:tcPr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2</w:t>
            </w:r>
          </w:p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Disagree</w:t>
            </w:r>
          </w:p>
        </w:tc>
        <w:tc>
          <w:tcPr>
            <w:tcW w:w="720" w:type="dxa"/>
          </w:tcPr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3</w:t>
            </w:r>
          </w:p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Agree</w:t>
            </w:r>
          </w:p>
        </w:tc>
        <w:tc>
          <w:tcPr>
            <w:tcW w:w="810" w:type="dxa"/>
          </w:tcPr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4</w:t>
            </w:r>
          </w:p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142334">
              <w:rPr>
                <w:color w:val="2F5496" w:themeColor="accent5" w:themeShade="BF"/>
                <w:sz w:val="16"/>
                <w:szCs w:val="16"/>
              </w:rPr>
              <w:t>Strongly Agree</w:t>
            </w:r>
          </w:p>
        </w:tc>
        <w:tc>
          <w:tcPr>
            <w:tcW w:w="990" w:type="dxa"/>
            <w:vMerge/>
            <w:shd w:val="clear" w:color="auto" w:fill="538135" w:themeFill="accent6" w:themeFillShade="BF"/>
          </w:tcPr>
          <w:p w:rsidR="00142334" w:rsidRPr="00142334" w:rsidRDefault="00142334" w:rsidP="00142334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</w:p>
        </w:tc>
      </w:tr>
      <w:tr w:rsidR="00142334" w:rsidTr="00142334">
        <w:trPr>
          <w:trHeight w:val="224"/>
        </w:trPr>
        <w:tc>
          <w:tcPr>
            <w:tcW w:w="6835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sz w:val="24"/>
              </w:rPr>
            </w:pPr>
            <w:r w:rsidRPr="00503E32">
              <w:rPr>
                <w:b/>
                <w:color w:val="FFFFFF" w:themeColor="background1"/>
                <w:sz w:val="20"/>
              </w:rPr>
              <w:t>Strategic Direction</w:t>
            </w:r>
          </w:p>
        </w:tc>
        <w:tc>
          <w:tcPr>
            <w:tcW w:w="900" w:type="dxa"/>
            <w:shd w:val="clear" w:color="auto" w:fill="5B9BD5" w:themeFill="accent1"/>
          </w:tcPr>
          <w:p w:rsidR="00142334" w:rsidRPr="00E873BF" w:rsidRDefault="00142334" w:rsidP="00142334">
            <w:pPr>
              <w:jc w:val="center"/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E873BF" w:rsidRDefault="00142334" w:rsidP="00142334">
            <w:pPr>
              <w:jc w:val="center"/>
            </w:pPr>
          </w:p>
        </w:tc>
        <w:tc>
          <w:tcPr>
            <w:tcW w:w="720" w:type="dxa"/>
            <w:shd w:val="clear" w:color="auto" w:fill="5B9BD5" w:themeFill="accent1"/>
          </w:tcPr>
          <w:p w:rsidR="00142334" w:rsidRPr="00E873BF" w:rsidRDefault="00142334" w:rsidP="00142334">
            <w:pPr>
              <w:jc w:val="center"/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E873BF" w:rsidRDefault="00142334" w:rsidP="00142334">
            <w:pPr>
              <w:jc w:val="center"/>
            </w:pPr>
          </w:p>
        </w:tc>
        <w:tc>
          <w:tcPr>
            <w:tcW w:w="990" w:type="dxa"/>
            <w:shd w:val="clear" w:color="auto" w:fill="5B9BD5" w:themeFill="accent1"/>
          </w:tcPr>
          <w:p w:rsidR="00142334" w:rsidRPr="00E873BF" w:rsidRDefault="00142334" w:rsidP="00142334">
            <w:pPr>
              <w:jc w:val="center"/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1. Strategic workforce planning is well accepted and supported by executives and leaders.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Pr="00A63BCB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9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2. A plan is in place to deal with labor an</w:t>
            </w:r>
            <w:r>
              <w:rPr>
                <w:sz w:val="20"/>
                <w:szCs w:val="20"/>
              </w:rPr>
              <w:t>d skill shortages in the future.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Pr="001D4AA2" w:rsidRDefault="00142334" w:rsidP="00142334">
            <w:pPr>
              <w:pStyle w:val="List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3. The workforce plan is closely aligned to the business strategy.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Pr="001D4AA2" w:rsidRDefault="00142334" w:rsidP="00142334">
            <w:pPr>
              <w:pStyle w:val="List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Strategic, future-focused (as opposed to operational, current state-focused) </w:t>
            </w:r>
            <w:r w:rsidRPr="009117D9">
              <w:rPr>
                <w:sz w:val="20"/>
                <w:szCs w:val="20"/>
              </w:rPr>
              <w:t>workforce planning is practiced.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Pr="001D4AA2" w:rsidRDefault="00142334" w:rsidP="00142334">
            <w:pPr>
              <w:pStyle w:val="List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142334" w:rsidRPr="00503E32" w:rsidTr="00142334">
        <w:trPr>
          <w:trHeight w:val="197"/>
        </w:trPr>
        <w:tc>
          <w:tcPr>
            <w:tcW w:w="6835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Role Segmentation: Key and Mission-Essential Position Identification</w:t>
            </w:r>
          </w:p>
        </w:tc>
        <w:tc>
          <w:tcPr>
            <w:tcW w:w="90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72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9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142334" w:rsidTr="00142334">
        <w:trPr>
          <w:trHeight w:val="49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5. Roles have been categorized based on their i</w:t>
            </w:r>
            <w:r>
              <w:rPr>
                <w:sz w:val="20"/>
                <w:szCs w:val="20"/>
              </w:rPr>
              <w:t xml:space="preserve">mportance to executing strategy (i.e., </w:t>
            </w:r>
            <w:r w:rsidRPr="009117D9">
              <w:rPr>
                <w:sz w:val="20"/>
                <w:szCs w:val="20"/>
              </w:rPr>
              <w:t xml:space="preserve">critical, core, supportive, </w:t>
            </w:r>
            <w:r>
              <w:rPr>
                <w:sz w:val="20"/>
                <w:szCs w:val="20"/>
              </w:rPr>
              <w:t>or</w:t>
            </w:r>
            <w:r w:rsidRPr="009117D9">
              <w:rPr>
                <w:sz w:val="20"/>
                <w:szCs w:val="20"/>
              </w:rPr>
              <w:t xml:space="preserve"> misaligned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117D9">
              <w:rPr>
                <w:sz w:val="20"/>
                <w:szCs w:val="20"/>
              </w:rPr>
              <w:t>. Top talent is assigned to critical</w:t>
            </w:r>
            <w:r>
              <w:rPr>
                <w:sz w:val="20"/>
                <w:szCs w:val="20"/>
              </w:rPr>
              <w:t>/key</w:t>
            </w:r>
            <w:r w:rsidRPr="009117D9">
              <w:rPr>
                <w:sz w:val="20"/>
                <w:szCs w:val="20"/>
              </w:rPr>
              <w:t xml:space="preserve"> jobs: the fit between “A” roles and “A” talent is strong.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117D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Competencies, or needed skills and capabilities, </w:t>
            </w:r>
            <w:r w:rsidRPr="009117D9">
              <w:rPr>
                <w:sz w:val="20"/>
                <w:szCs w:val="20"/>
              </w:rPr>
              <w:t>for each critical role have been identified.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Default="00142334" w:rsidP="0014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The depth of the candidate pool/potential successors (capabilities and readiness) for each critical/key role is understood.  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</w:tr>
      <w:tr w:rsidR="00142334" w:rsidRPr="00503E32" w:rsidTr="00142334">
        <w:trPr>
          <w:trHeight w:val="197"/>
        </w:trPr>
        <w:tc>
          <w:tcPr>
            <w:tcW w:w="6835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Environmental Scan</w:t>
            </w:r>
          </w:p>
        </w:tc>
        <w:tc>
          <w:tcPr>
            <w:tcW w:w="90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72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9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142334" w:rsidTr="00142334">
        <w:trPr>
          <w:trHeight w:val="49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9. The internal and external environment factors that impact the present and future workforces are well understood.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450"/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Pr="00A63BCB" w:rsidRDefault="00142334" w:rsidP="00142334">
            <w:pPr>
              <w:ind w:left="450"/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117D9">
              <w:rPr>
                <w:sz w:val="20"/>
                <w:szCs w:val="20"/>
              </w:rPr>
              <w:t>. The risk associated with important environmental factors is assessed.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Pr="001D4AA2" w:rsidRDefault="00142334" w:rsidP="00142334">
            <w:pPr>
              <w:pStyle w:val="List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RPr="00503E32" w:rsidTr="00142334">
        <w:trPr>
          <w:trHeight w:val="197"/>
        </w:trPr>
        <w:tc>
          <w:tcPr>
            <w:tcW w:w="6835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Workforce Supply</w:t>
            </w:r>
          </w:p>
        </w:tc>
        <w:tc>
          <w:tcPr>
            <w:tcW w:w="90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72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9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117D9">
              <w:rPr>
                <w:sz w:val="20"/>
                <w:szCs w:val="20"/>
              </w:rPr>
              <w:t>. Analytics and data are used to analyze different workforce profiles and trends.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450"/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Pr="00A63BCB" w:rsidRDefault="00142334" w:rsidP="00142334">
            <w:pPr>
              <w:ind w:left="450"/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9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12. The profile and characteristics of the current workforce are clearly understood.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RPr="00503E32" w:rsidTr="00142334">
        <w:trPr>
          <w:trHeight w:val="197"/>
        </w:trPr>
        <w:tc>
          <w:tcPr>
            <w:tcW w:w="6835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Workforce Demand and Gap Analysis</w:t>
            </w:r>
          </w:p>
        </w:tc>
        <w:tc>
          <w:tcPr>
            <w:tcW w:w="90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72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9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142334" w:rsidTr="00142334">
        <w:trPr>
          <w:trHeight w:val="576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13. The no-change future state is used to forecast what the current workforce would look like if no changes or adjustments were made.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14. Scenario planning is used to help understand the future workforce characteristics.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9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15. Both quantitative and qualitative data are used to construct future scenarios.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16. A gap analysis is performed to reconcile the differences between the current and future state needs.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RPr="00503E32" w:rsidTr="00142334">
        <w:trPr>
          <w:trHeight w:val="197"/>
        </w:trPr>
        <w:tc>
          <w:tcPr>
            <w:tcW w:w="6835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Solution Implementation and Monitoring Progress</w:t>
            </w:r>
          </w:p>
        </w:tc>
        <w:tc>
          <w:tcPr>
            <w:tcW w:w="90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72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90" w:type="dxa"/>
            <w:shd w:val="clear" w:color="auto" w:fill="5B9BD5" w:themeFill="accent1"/>
          </w:tcPr>
          <w:p w:rsidR="00142334" w:rsidRPr="00503E32" w:rsidRDefault="00142334" w:rsidP="00142334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142334" w:rsidTr="00142334">
        <w:trPr>
          <w:trHeight w:val="576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 xml:space="preserve">17. The best decisions about how to </w:t>
            </w:r>
            <w:r>
              <w:rPr>
                <w:sz w:val="20"/>
                <w:szCs w:val="20"/>
              </w:rPr>
              <w:t xml:space="preserve">address </w:t>
            </w:r>
            <w:r w:rsidRPr="009117D9">
              <w:rPr>
                <w:sz w:val="20"/>
                <w:szCs w:val="20"/>
              </w:rPr>
              <w:t>skill and competency gaps are made through hiring, developing, and using external resources.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Pr="001D4AA2" w:rsidRDefault="00142334" w:rsidP="00142334">
            <w:pPr>
              <w:pStyle w:val="List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487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18. A detailed action plan is in place to accomplish the initiatives required by the strategic workforce plan.</w:t>
            </w:r>
          </w:p>
        </w:tc>
        <w:tc>
          <w:tcPr>
            <w:tcW w:w="90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  <w:tr w:rsidR="00142334" w:rsidTr="00142334">
        <w:trPr>
          <w:trHeight w:val="576"/>
        </w:trPr>
        <w:tc>
          <w:tcPr>
            <w:tcW w:w="6835" w:type="dxa"/>
          </w:tcPr>
          <w:p w:rsidR="00142334" w:rsidRPr="009117D9" w:rsidRDefault="00142334" w:rsidP="00142334">
            <w:pPr>
              <w:rPr>
                <w:sz w:val="20"/>
                <w:szCs w:val="20"/>
              </w:rPr>
            </w:pPr>
            <w:r w:rsidRPr="009117D9">
              <w:rPr>
                <w:sz w:val="20"/>
                <w:szCs w:val="20"/>
              </w:rPr>
              <w:t>19. The strategic workforce plan is monitored so that if conditions change, the plan can be modified or redirected as needed.</w:t>
            </w:r>
          </w:p>
        </w:tc>
        <w:tc>
          <w:tcPr>
            <w:tcW w:w="90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Pr="00A63BCB" w:rsidRDefault="00142334" w:rsidP="00142334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142334" w:rsidRDefault="00142334" w:rsidP="00142334">
            <w:pPr>
              <w:jc w:val="center"/>
              <w:rPr>
                <w:sz w:val="24"/>
              </w:rPr>
            </w:pPr>
          </w:p>
        </w:tc>
      </w:tr>
    </w:tbl>
    <w:p w:rsidR="002B5AD9" w:rsidRPr="00262E55" w:rsidRDefault="002B5AD9" w:rsidP="003114C0">
      <w:pPr>
        <w:rPr>
          <w:sz w:val="24"/>
        </w:rPr>
      </w:pPr>
    </w:p>
    <w:sectPr w:rsidR="002B5AD9" w:rsidRPr="00262E55" w:rsidSect="001423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F2C"/>
    <w:multiLevelType w:val="hybridMultilevel"/>
    <w:tmpl w:val="A20E5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6A72"/>
    <w:multiLevelType w:val="hybridMultilevel"/>
    <w:tmpl w:val="D10C6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293"/>
    <w:multiLevelType w:val="hybridMultilevel"/>
    <w:tmpl w:val="9FB2F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A61"/>
    <w:multiLevelType w:val="hybridMultilevel"/>
    <w:tmpl w:val="66D8E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966"/>
    <w:multiLevelType w:val="hybridMultilevel"/>
    <w:tmpl w:val="F05C7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44184"/>
    <w:multiLevelType w:val="hybridMultilevel"/>
    <w:tmpl w:val="4E906A1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0FB482C"/>
    <w:multiLevelType w:val="hybridMultilevel"/>
    <w:tmpl w:val="6FC0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B6BEB"/>
    <w:multiLevelType w:val="hybridMultilevel"/>
    <w:tmpl w:val="E794B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97417"/>
    <w:multiLevelType w:val="hybridMultilevel"/>
    <w:tmpl w:val="DB7C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F40AD"/>
    <w:multiLevelType w:val="hybridMultilevel"/>
    <w:tmpl w:val="D862E0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B0DF8"/>
    <w:multiLevelType w:val="hybridMultilevel"/>
    <w:tmpl w:val="09569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46EC9"/>
    <w:multiLevelType w:val="hybridMultilevel"/>
    <w:tmpl w:val="D428B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97425"/>
    <w:multiLevelType w:val="hybridMultilevel"/>
    <w:tmpl w:val="F56237E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735E0"/>
    <w:multiLevelType w:val="hybridMultilevel"/>
    <w:tmpl w:val="112C0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453D"/>
    <w:multiLevelType w:val="hybridMultilevel"/>
    <w:tmpl w:val="FC921680"/>
    <w:lvl w:ilvl="0" w:tplc="0DA83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5"/>
    <w:rsid w:val="00026E5F"/>
    <w:rsid w:val="000C6AE5"/>
    <w:rsid w:val="00142334"/>
    <w:rsid w:val="00157452"/>
    <w:rsid w:val="001D2E0A"/>
    <w:rsid w:val="001D4AA2"/>
    <w:rsid w:val="00262E55"/>
    <w:rsid w:val="00276800"/>
    <w:rsid w:val="002B5AD9"/>
    <w:rsid w:val="003114C0"/>
    <w:rsid w:val="0033184E"/>
    <w:rsid w:val="00412DB3"/>
    <w:rsid w:val="00422F1C"/>
    <w:rsid w:val="00424BFE"/>
    <w:rsid w:val="004F4CF2"/>
    <w:rsid w:val="00503E32"/>
    <w:rsid w:val="00544A87"/>
    <w:rsid w:val="00571908"/>
    <w:rsid w:val="0065516F"/>
    <w:rsid w:val="006B4B79"/>
    <w:rsid w:val="006E7475"/>
    <w:rsid w:val="00742460"/>
    <w:rsid w:val="007737FE"/>
    <w:rsid w:val="0078313C"/>
    <w:rsid w:val="00794B59"/>
    <w:rsid w:val="007C1275"/>
    <w:rsid w:val="007E064C"/>
    <w:rsid w:val="008050C9"/>
    <w:rsid w:val="00812400"/>
    <w:rsid w:val="00815DFA"/>
    <w:rsid w:val="00843764"/>
    <w:rsid w:val="009117D9"/>
    <w:rsid w:val="00956705"/>
    <w:rsid w:val="00992EDC"/>
    <w:rsid w:val="009D7879"/>
    <w:rsid w:val="00A27A90"/>
    <w:rsid w:val="00A63BCB"/>
    <w:rsid w:val="00AC2C14"/>
    <w:rsid w:val="00AD5824"/>
    <w:rsid w:val="00B9488B"/>
    <w:rsid w:val="00CC68D2"/>
    <w:rsid w:val="00D03E05"/>
    <w:rsid w:val="00DC7C00"/>
    <w:rsid w:val="00E30FDA"/>
    <w:rsid w:val="00E3323C"/>
    <w:rsid w:val="00E43075"/>
    <w:rsid w:val="00E51DD3"/>
    <w:rsid w:val="00E73973"/>
    <w:rsid w:val="00E77E89"/>
    <w:rsid w:val="00E873BF"/>
    <w:rsid w:val="00ED4A36"/>
    <w:rsid w:val="00F8501D"/>
    <w:rsid w:val="00FD0B8D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68170-4BE2-4C51-AB04-775F63B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622B3A7847E4F8F5ADB9F69C8E08B" ma:contentTypeVersion="9" ma:contentTypeDescription="Create a new document." ma:contentTypeScope="" ma:versionID="a1c09d7e93c958f1d7eb710c31d60962">
  <xsd:schema xmlns:xsd="http://www.w3.org/2001/XMLSchema" xmlns:xs="http://www.w3.org/2001/XMLSchema" xmlns:p="http://schemas.microsoft.com/office/2006/metadata/properties" xmlns:ns2="392d2fdd-8dd3-4c40-8bc0-5ab6a04aa83e" xmlns:ns3="bb792c8c-f037-4355-92a9-93f962b4d7ab" targetNamespace="http://schemas.microsoft.com/office/2006/metadata/properties" ma:root="true" ma:fieldsID="7bd7a93238bf604d1d264c335a228d36" ns2:_="" ns3:_="">
    <xsd:import namespace="392d2fdd-8dd3-4c40-8bc0-5ab6a04aa83e"/>
    <xsd:import namespace="bb792c8c-f037-4355-92a9-93f962b4d7a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dba6e9abb2149a4942c0cd7f41369b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2fdd-8dd3-4c40-8bc0-5ab6a04aa83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eb1e9cdb-8395-4d7d-b2fe-11f87d0312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c68e794-389c-410b-918f-4fa12a62a9b6}" ma:internalName="TaxCatchAll" ma:showField="CatchAllData" ma:web="392d2fdd-8dd3-4c40-8bc0-5ab6a04aa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2c8c-f037-4355-92a9-93f962b4d7ab" elementFormDefault="qualified">
    <xsd:import namespace="http://schemas.microsoft.com/office/2006/documentManagement/types"/>
    <xsd:import namespace="http://schemas.microsoft.com/office/infopath/2007/PartnerControls"/>
    <xsd:element name="gdba6e9abb2149a4942c0cd7f41369b0" ma:index="12" nillable="true" ma:taxonomy="true" ma:internalName="gdba6e9abb2149a4942c0cd7f41369b0" ma:taxonomyFieldName="Tags" ma:displayName="Tags" ma:readOnly="false" ma:default="" ma:fieldId="{0dba6e9a-bb21-49a4-942c-0cd7f41369b0}" ma:taxonomyMulti="true" ma:sspId="eb1e9cdb-8395-4d7d-b2fe-11f87d0312ce" ma:termSetId="a2bbdc76-baea-49dc-a93c-cfd52d52f6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2d2fdd-8dd3-4c40-8bc0-5ab6a04aa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WFP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Status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Assessment</TermName>
          <TermId xmlns="http://schemas.microsoft.com/office/infopath/2007/PartnerControls">11111111-1111-1111-1111-111111111111</TermId>
        </TermInfo>
      </Terms>
    </TaxKeywordTaxHTField>
    <gdba6e9abb2149a4942c0cd7f41369b0 xmlns="bb792c8c-f037-4355-92a9-93f962b4d7ab">
      <Terms xmlns="http://schemas.microsoft.com/office/infopath/2007/PartnerControls"/>
    </gdba6e9abb2149a4942c0cd7f41369b0>
    <TaxCatchAll xmlns="392d2fdd-8dd3-4c40-8bc0-5ab6a04aa83e"/>
  </documentManagement>
</p:properties>
</file>

<file path=customXml/itemProps1.xml><?xml version="1.0" encoding="utf-8"?>
<ds:datastoreItem xmlns:ds="http://schemas.openxmlformats.org/officeDocument/2006/customXml" ds:itemID="{B0441A07-4C55-4DA1-9894-C5857608E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d2fdd-8dd3-4c40-8bc0-5ab6a04aa83e"/>
    <ds:schemaRef ds:uri="bb792c8c-f037-4355-92a9-93f962b4d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EAF36-A9A7-4628-9C01-63EA1DCBF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313DD-B893-4E4B-9DD5-91515E162F2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b792c8c-f037-4355-92a9-93f962b4d7ab"/>
    <ds:schemaRef ds:uri="392d2fdd-8dd3-4c40-8bc0-5ab6a04aa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Started WFP Status Assessment</vt:lpstr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Started WFP Status Assessment</dc:title>
  <dc:subject>Status Assessment</dc:subject>
  <dc:creator>NIH/OD</dc:creator>
  <cp:keywords>WFP, Status, Assessment</cp:keywords>
  <dc:description/>
  <cp:lastModifiedBy>Fathi, Jasper (NIH/OD) [E]</cp:lastModifiedBy>
  <cp:revision>2</cp:revision>
  <dcterms:created xsi:type="dcterms:W3CDTF">2016-02-24T18:29:00Z</dcterms:created>
  <dcterms:modified xsi:type="dcterms:W3CDTF">2016-02-24T18:29:00Z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0x010100A3E622B3A7847E4F8F5ADB9F69C8E08B</vt:lpwstr>
  </property>
  <property fmtid="{D5CDD505-2E9C-101B-9397-08002B2CF9AE}" pid="3" name="TaxKeyword">
    <vt:lpwstr/>
  </property>
  <property fmtid="{D5CDD505-2E9C-101B-9397-08002B2CF9AE}" pid="4" name="Tags">
    <vt:lpwstr/>
  </property>
  <property fmtid="{D5CDD505-2E9C-101B-9397-08002B2CF9AE}" pid="5" name="Language">
    <vt:lpwstr>English</vt:lpwstr>
  </property>
</Properties>
</file>