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86" w:rsidRDefault="004C3986">
      <w:pPr>
        <w:pStyle w:val="Title"/>
      </w:pPr>
      <w:r>
        <w:t>R1 – A -- SAMPLE</w:t>
      </w:r>
    </w:p>
    <w:p w:rsidR="004C3986" w:rsidRPr="000D4D38" w:rsidRDefault="004C3986">
      <w:pPr>
        <w:pBdr>
          <w:top w:val="single" w:sz="4" w:space="1" w:color="auto"/>
          <w:left w:val="single" w:sz="4" w:space="4" w:color="auto"/>
          <w:bottom w:val="single" w:sz="4" w:space="1" w:color="auto"/>
          <w:right w:val="single" w:sz="4" w:space="4" w:color="auto"/>
        </w:pBdr>
        <w:jc w:val="center"/>
        <w:rPr>
          <w:rStyle w:val="Strong"/>
        </w:rPr>
      </w:pPr>
      <w:r w:rsidRPr="000D4D38">
        <w:rPr>
          <w:rStyle w:val="Strong"/>
        </w:rPr>
        <w:t xml:space="preserve"> Reassignment </w:t>
      </w:r>
    </w:p>
    <w:p w:rsidR="004C3986" w:rsidRPr="000D4D38" w:rsidRDefault="004C3986">
      <w:pPr>
        <w:pBdr>
          <w:top w:val="single" w:sz="4" w:space="1" w:color="auto"/>
          <w:left w:val="single" w:sz="4" w:space="4" w:color="auto"/>
          <w:bottom w:val="single" w:sz="4" w:space="1" w:color="auto"/>
          <w:right w:val="single" w:sz="4" w:space="4" w:color="auto"/>
        </w:pBdr>
        <w:jc w:val="center"/>
        <w:rPr>
          <w:rStyle w:val="Strong"/>
        </w:rPr>
      </w:pPr>
      <w:r w:rsidRPr="000D4D38">
        <w:rPr>
          <w:rStyle w:val="Strong"/>
        </w:rPr>
        <w:t>From: Dallas, TX   To:  Houston, TX</w:t>
      </w:r>
    </w:p>
    <w:p w:rsidR="004C3986" w:rsidRDefault="004C3986">
      <w:pPr>
        <w:pBdr>
          <w:top w:val="single" w:sz="4" w:space="1" w:color="auto"/>
          <w:left w:val="single" w:sz="4" w:space="4" w:color="auto"/>
          <w:bottom w:val="single" w:sz="4" w:space="1" w:color="auto"/>
          <w:right w:val="single" w:sz="4" w:space="4" w:color="auto"/>
        </w:pBdr>
        <w:jc w:val="center"/>
        <w:rPr>
          <w:rFonts w:cs="Arial"/>
          <w:szCs w:val="22"/>
        </w:rPr>
      </w:pPr>
      <w:r>
        <w:rPr>
          <w:rFonts w:cs="Arial"/>
          <w:szCs w:val="22"/>
        </w:rPr>
        <w:t>Non-Special Rate to Non-Special Rate (</w:t>
      </w:r>
      <w:r w:rsidRPr="000D4D38">
        <w:rPr>
          <w:rStyle w:val="Strong"/>
        </w:rPr>
        <w:t>change</w:t>
      </w:r>
      <w:r>
        <w:rPr>
          <w:rFonts w:cs="Arial"/>
          <w:szCs w:val="22"/>
        </w:rPr>
        <w:t xml:space="preserve"> in geographic location)</w:t>
      </w:r>
    </w:p>
    <w:p w:rsidR="004C3986" w:rsidRDefault="004C3986">
      <w:pPr>
        <w:rPr>
          <w:rFonts w:cs="Arial"/>
          <w:b/>
        </w:rPr>
      </w:pPr>
    </w:p>
    <w:p w:rsidR="004C3986" w:rsidRPr="004919B0" w:rsidRDefault="004C3986">
      <w:pPr>
        <w:rPr>
          <w:rFonts w:cs="Arial"/>
          <w:bCs/>
        </w:rPr>
      </w:pPr>
      <w:r w:rsidRPr="000D4D38">
        <w:rPr>
          <w:rStyle w:val="Strong"/>
        </w:rPr>
        <w:t>Employee Name:</w:t>
      </w:r>
      <w:r w:rsidRPr="004919B0">
        <w:rPr>
          <w:rFonts w:cs="Arial"/>
        </w:rPr>
        <w:t xml:space="preserve">  </w:t>
      </w:r>
      <w:r w:rsidRPr="004919B0">
        <w:rPr>
          <w:rFonts w:cs="Arial"/>
          <w:bCs/>
        </w:rPr>
        <w:t>Greg Jones</w:t>
      </w:r>
      <w:r w:rsidRPr="004919B0">
        <w:rPr>
          <w:rFonts w:cs="Arial"/>
        </w:rPr>
        <w:t xml:space="preserve"> </w:t>
      </w:r>
    </w:p>
    <w:p w:rsidR="004C3986" w:rsidRPr="004919B0" w:rsidRDefault="004C3986">
      <w:pPr>
        <w:rPr>
          <w:rFonts w:cs="Arial"/>
        </w:rPr>
      </w:pPr>
      <w:r w:rsidRPr="000D4D38">
        <w:rPr>
          <w:rStyle w:val="Strong"/>
        </w:rPr>
        <w:t>Current Position Title:</w:t>
      </w:r>
      <w:r w:rsidRPr="004919B0">
        <w:rPr>
          <w:rFonts w:cs="Arial"/>
        </w:rPr>
        <w:t xml:space="preserve">  Staff Assistant </w:t>
      </w:r>
    </w:p>
    <w:p w:rsidR="004C3986" w:rsidRPr="004919B0" w:rsidRDefault="004C3986">
      <w:pPr>
        <w:rPr>
          <w:rFonts w:cs="Arial"/>
          <w:bCs/>
        </w:rPr>
      </w:pPr>
      <w:r w:rsidRPr="000D4D38">
        <w:rPr>
          <w:rStyle w:val="Strong"/>
        </w:rPr>
        <w:t>Current Official Worksite:</w:t>
      </w:r>
      <w:r w:rsidRPr="004919B0">
        <w:rPr>
          <w:rFonts w:cs="Arial"/>
        </w:rPr>
        <w:t xml:space="preserve">  </w:t>
      </w:r>
      <w:r w:rsidRPr="004919B0">
        <w:rPr>
          <w:rFonts w:cs="Arial"/>
          <w:bCs/>
        </w:rPr>
        <w:t xml:space="preserve">Dallas, TX  </w:t>
      </w:r>
    </w:p>
    <w:p w:rsidR="004C3986" w:rsidRPr="004919B0" w:rsidRDefault="004C3986">
      <w:pPr>
        <w:rPr>
          <w:rFonts w:cs="Arial"/>
        </w:rPr>
      </w:pPr>
      <w:r w:rsidRPr="000D4D38">
        <w:rPr>
          <w:rStyle w:val="Strong"/>
        </w:rPr>
        <w:t>Current Pay Plan, Series, Grade and Step</w:t>
      </w:r>
      <w:r w:rsidRPr="004919B0">
        <w:rPr>
          <w:rFonts w:cs="Arial"/>
        </w:rPr>
        <w:t>:  GS-301-11/3</w:t>
      </w:r>
    </w:p>
    <w:p w:rsidR="004C3986" w:rsidRDefault="004C3986" w:rsidP="004919B0">
      <w:pPr>
        <w:rPr>
          <w:u w:val="single"/>
        </w:rPr>
      </w:pPr>
      <w:r w:rsidRPr="000D4D38">
        <w:rPr>
          <w:rStyle w:val="Strong"/>
        </w:rPr>
        <w:t>Current Rate of Basic Pay (includes locality supplement):</w:t>
      </w:r>
      <w:r>
        <w:t xml:space="preserve">  </w:t>
      </w:r>
      <w:r w:rsidRPr="000D4D38">
        <w:t xml:space="preserve">$55,527 </w:t>
      </w:r>
    </w:p>
    <w:p w:rsidR="00874FF5" w:rsidRPr="00874FF5" w:rsidRDefault="00874FF5" w:rsidP="00855D53">
      <w:pPr>
        <w:pStyle w:val="Heading1"/>
        <w:framePr w:hSpace="0" w:wrap="auto" w:vAnchor="margin" w:hAnchor="text" w:yAlign="inline"/>
        <w:suppressOverlap w:val="0"/>
      </w:pPr>
      <w:r w:rsidRPr="00874FF5">
        <w:t>Step A</w:t>
      </w:r>
    </w:p>
    <w:p w:rsidR="00874FF5" w:rsidRPr="00874FF5" w:rsidRDefault="00874FF5" w:rsidP="00855D53">
      <w:pPr>
        <w:ind w:left="720"/>
        <w:rPr>
          <w:rFonts w:cs="Arial"/>
        </w:rPr>
      </w:pPr>
      <w:r w:rsidRPr="00874FF5">
        <w:rPr>
          <w:rFonts w:cs="Arial"/>
        </w:rPr>
        <w:t xml:space="preserve">Apply geographic conversion rule by converting the employee’s position to the pay scale of the new official worksite prior to reassignment. </w:t>
      </w:r>
    </w:p>
    <w:p w:rsidR="00874FF5" w:rsidRPr="00874FF5" w:rsidRDefault="00874FF5" w:rsidP="00A02396">
      <w:pPr>
        <w:ind w:left="720"/>
        <w:rPr>
          <w:rFonts w:cs="Arial"/>
        </w:rPr>
      </w:pPr>
      <w:r w:rsidRPr="00874FF5">
        <w:rPr>
          <w:rFonts w:cs="Arial"/>
        </w:rPr>
        <w:t>Current Pay Plan/Series/Grade/Step:  GS-301-11/3Rate:  $55,527</w:t>
      </w:r>
    </w:p>
    <w:p w:rsidR="00874FF5" w:rsidRPr="00874FF5" w:rsidRDefault="00874FF5" w:rsidP="00855D53">
      <w:pPr>
        <w:ind w:left="720"/>
        <w:rPr>
          <w:rFonts w:cs="Arial"/>
        </w:rPr>
      </w:pPr>
      <w:r w:rsidRPr="00874FF5">
        <w:rPr>
          <w:rFonts w:cs="Arial"/>
        </w:rPr>
        <w:t>Employee’s Current Pay Scale</w:t>
      </w:r>
    </w:p>
    <w:p w:rsidR="00874FF5" w:rsidRPr="004C22C0" w:rsidRDefault="00874FF5" w:rsidP="004C22C0">
      <w:pPr>
        <w:pStyle w:val="Heading2"/>
        <w:jc w:val="center"/>
      </w:pPr>
      <w:r w:rsidRPr="004C22C0">
        <w:t>2005 DFW (Dallas, TX Locality Pay Scale):</w:t>
      </w:r>
    </w:p>
    <w:tbl>
      <w:tblPr>
        <w:tblW w:w="1920" w:type="dxa"/>
        <w:tblInd w:w="2160" w:type="dxa"/>
        <w:tblLook w:val="04A0" w:firstRow="1" w:lastRow="0" w:firstColumn="1" w:lastColumn="0" w:noHBand="0" w:noVBand="1"/>
        <w:tblCaption w:val="2005 DFW (Dallas, TX Locality Pay Scale)"/>
      </w:tblPr>
      <w:tblGrid>
        <w:gridCol w:w="960"/>
        <w:gridCol w:w="960"/>
      </w:tblGrid>
      <w:tr w:rsidR="003B74BA" w:rsidRPr="003B74BA" w:rsidTr="004C22C0">
        <w:trPr>
          <w:cantSplit/>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Grade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11</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 xml:space="preserve">Step 1 </w:t>
            </w:r>
          </w:p>
        </w:tc>
        <w:tc>
          <w:tcPr>
            <w:tcW w:w="960" w:type="dxa"/>
            <w:tcBorders>
              <w:top w:val="nil"/>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52,057</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2</w:t>
            </w:r>
          </w:p>
        </w:tc>
        <w:tc>
          <w:tcPr>
            <w:tcW w:w="960" w:type="dxa"/>
            <w:tcBorders>
              <w:top w:val="nil"/>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53,792</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3</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55,527</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4</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57,262</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5</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58,998</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6</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60,733</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7</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62,468</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8</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64,203</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9</w:t>
            </w:r>
          </w:p>
        </w:tc>
        <w:tc>
          <w:tcPr>
            <w:tcW w:w="960" w:type="dxa"/>
            <w:tcBorders>
              <w:top w:val="nil"/>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65,939</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10</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67,674</w:t>
            </w:r>
          </w:p>
        </w:tc>
      </w:tr>
    </w:tbl>
    <w:p w:rsidR="00855D53" w:rsidRDefault="004C22C0" w:rsidP="00855D53">
      <w:pPr>
        <w:pStyle w:val="Heading1"/>
        <w:framePr w:hSpace="0" w:wrap="auto" w:vAnchor="margin" w:hAnchor="text" w:yAlign="inline"/>
        <w:suppressOverlap w:val="0"/>
      </w:pPr>
      <w:r>
        <w:t>Step B</w:t>
      </w:r>
    </w:p>
    <w:p w:rsidR="00874FF5" w:rsidRPr="00874FF5" w:rsidRDefault="00874FF5" w:rsidP="00855D53">
      <w:pPr>
        <w:ind w:left="720"/>
        <w:rPr>
          <w:rFonts w:cs="Arial"/>
        </w:rPr>
      </w:pPr>
      <w:r w:rsidRPr="00874FF5">
        <w:rPr>
          <w:rFonts w:cs="Arial"/>
        </w:rPr>
        <w:t>Convert employee’s position to Pay Scale applicable to the new position located in Houston, TX.</w:t>
      </w:r>
    </w:p>
    <w:p w:rsidR="00874FF5" w:rsidRPr="004C22C0" w:rsidRDefault="00874FF5" w:rsidP="004C22C0">
      <w:pPr>
        <w:pStyle w:val="Heading2"/>
        <w:jc w:val="center"/>
        <w:rPr>
          <w:bCs/>
        </w:rPr>
      </w:pPr>
      <w:r w:rsidRPr="004C22C0">
        <w:rPr>
          <w:bCs/>
        </w:rPr>
        <w:t>2005 HOU (Houston, TX Pay Scale):</w:t>
      </w:r>
    </w:p>
    <w:tbl>
      <w:tblPr>
        <w:tblW w:w="1920" w:type="dxa"/>
        <w:tblInd w:w="2160" w:type="dxa"/>
        <w:tblLook w:val="04A0" w:firstRow="1" w:lastRow="0" w:firstColumn="1" w:lastColumn="0" w:noHBand="0" w:noVBand="1"/>
        <w:tblCaption w:val="2005 HOU (Houston, TX Pay Scale) Table "/>
      </w:tblPr>
      <w:tblGrid>
        <w:gridCol w:w="960"/>
        <w:gridCol w:w="960"/>
      </w:tblGrid>
      <w:tr w:rsidR="003B74BA" w:rsidRPr="003B74BA" w:rsidTr="004C22C0">
        <w:trPr>
          <w:cantSplit/>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bookmarkStart w:id="0" w:name="_GoBack" w:colFirst="0" w:colLast="0"/>
            <w:r w:rsidRPr="004C22C0">
              <w:t>Grade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11</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 xml:space="preserve">Step 1 </w:t>
            </w:r>
          </w:p>
        </w:tc>
        <w:tc>
          <w:tcPr>
            <w:tcW w:w="960" w:type="dxa"/>
            <w:tcBorders>
              <w:top w:val="nil"/>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56,445</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2</w:t>
            </w:r>
          </w:p>
        </w:tc>
        <w:tc>
          <w:tcPr>
            <w:tcW w:w="960" w:type="dxa"/>
            <w:tcBorders>
              <w:top w:val="nil"/>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58,326</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3</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60,208</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4</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62,089</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5</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63,971</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6</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65,852</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7</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67,734</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8</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69,615</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9</w:t>
            </w:r>
          </w:p>
        </w:tc>
        <w:tc>
          <w:tcPr>
            <w:tcW w:w="960" w:type="dxa"/>
            <w:tcBorders>
              <w:top w:val="nil"/>
              <w:left w:val="nil"/>
              <w:bottom w:val="single" w:sz="8" w:space="0" w:color="auto"/>
              <w:right w:val="single" w:sz="8" w:space="0" w:color="auto"/>
            </w:tcBorders>
            <w:shd w:val="clear" w:color="auto" w:fill="auto"/>
            <w:noWrap/>
            <w:vAlign w:val="center"/>
            <w:hideMark/>
          </w:tcPr>
          <w:p w:rsidR="003B74BA" w:rsidRPr="003B74BA" w:rsidRDefault="003B74BA" w:rsidP="003B74BA">
            <w:pPr>
              <w:jc w:val="right"/>
              <w:rPr>
                <w:rFonts w:cs="Arial"/>
                <w:color w:val="000000"/>
              </w:rPr>
            </w:pPr>
            <w:r w:rsidRPr="003B74BA">
              <w:rPr>
                <w:rFonts w:cs="Arial"/>
                <w:color w:val="000000"/>
              </w:rPr>
              <w:t>71,497</w:t>
            </w:r>
          </w:p>
        </w:tc>
      </w:tr>
      <w:tr w:rsidR="003B74BA" w:rsidRPr="003B74BA" w:rsidTr="004C22C0">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B74BA" w:rsidRPr="004C22C0" w:rsidRDefault="003B74BA" w:rsidP="004C22C0">
            <w:pPr>
              <w:pStyle w:val="Heading2"/>
            </w:pPr>
            <w:r w:rsidRPr="004C22C0">
              <w:t>Step 10</w:t>
            </w:r>
          </w:p>
        </w:tc>
        <w:tc>
          <w:tcPr>
            <w:tcW w:w="960" w:type="dxa"/>
            <w:tcBorders>
              <w:top w:val="nil"/>
              <w:left w:val="nil"/>
              <w:bottom w:val="single" w:sz="8" w:space="0" w:color="auto"/>
              <w:right w:val="single" w:sz="8" w:space="0" w:color="auto"/>
            </w:tcBorders>
            <w:shd w:val="clear" w:color="auto" w:fill="auto"/>
            <w:vAlign w:val="center"/>
            <w:hideMark/>
          </w:tcPr>
          <w:p w:rsidR="003B74BA" w:rsidRPr="003B74BA" w:rsidRDefault="003B74BA" w:rsidP="003B74BA">
            <w:pPr>
              <w:jc w:val="right"/>
              <w:rPr>
                <w:rFonts w:cs="Arial"/>
                <w:color w:val="000000"/>
              </w:rPr>
            </w:pPr>
            <w:r w:rsidRPr="003B74BA">
              <w:rPr>
                <w:rFonts w:cs="Arial"/>
                <w:color w:val="000000"/>
              </w:rPr>
              <w:t>73,378</w:t>
            </w:r>
          </w:p>
        </w:tc>
      </w:tr>
      <w:bookmarkEnd w:id="0"/>
    </w:tbl>
    <w:p w:rsidR="00874FF5" w:rsidRPr="00874FF5" w:rsidRDefault="00874FF5" w:rsidP="003B74BA">
      <w:pPr>
        <w:rPr>
          <w:rFonts w:cs="Arial"/>
        </w:rPr>
      </w:pPr>
    </w:p>
    <w:p w:rsidR="00A02396" w:rsidRDefault="00874FF5" w:rsidP="00A02396">
      <w:pPr>
        <w:ind w:left="720"/>
        <w:rPr>
          <w:rFonts w:cs="Arial"/>
        </w:rPr>
      </w:pPr>
      <w:r w:rsidRPr="00874FF5">
        <w:rPr>
          <w:rFonts w:cs="Arial"/>
        </w:rPr>
        <w:lastRenderedPageBreak/>
        <w:t>Pay Plan/Series/Grade/Step: GS-301-11/3</w:t>
      </w:r>
    </w:p>
    <w:p w:rsidR="00874FF5" w:rsidRPr="00874FF5" w:rsidRDefault="00874FF5" w:rsidP="00A02396">
      <w:pPr>
        <w:ind w:left="720"/>
        <w:rPr>
          <w:rFonts w:cs="Arial"/>
        </w:rPr>
      </w:pPr>
      <w:r w:rsidRPr="00874FF5">
        <w:rPr>
          <w:rFonts w:cs="Arial"/>
        </w:rPr>
        <w:t>Rate: $60,208</w:t>
      </w:r>
    </w:p>
    <w:p w:rsidR="00855D53" w:rsidRDefault="004C22C0" w:rsidP="00855D53">
      <w:pPr>
        <w:pStyle w:val="Heading1"/>
        <w:framePr w:hSpace="0" w:wrap="auto" w:vAnchor="margin" w:hAnchor="text" w:yAlign="inline"/>
        <w:suppressOverlap w:val="0"/>
      </w:pPr>
      <w:r>
        <w:t>Step C</w:t>
      </w:r>
    </w:p>
    <w:p w:rsidR="00A02396" w:rsidRDefault="00874FF5" w:rsidP="00855D53">
      <w:pPr>
        <w:ind w:left="720"/>
        <w:rPr>
          <w:rFonts w:cs="Arial"/>
        </w:rPr>
      </w:pPr>
      <w:r w:rsidRPr="00874FF5">
        <w:rPr>
          <w:rFonts w:cs="Arial"/>
        </w:rPr>
        <w:t>Pay is set at GS-11, Step 3, $60,208 (including locality supplement).</w:t>
      </w:r>
    </w:p>
    <w:p w:rsidR="00A02396" w:rsidRPr="00874FF5" w:rsidRDefault="00874FF5" w:rsidP="00A02396">
      <w:pPr>
        <w:spacing w:before="120"/>
        <w:ind w:left="720"/>
        <w:rPr>
          <w:rFonts w:cs="Arial"/>
        </w:rPr>
      </w:pPr>
      <w:r w:rsidRPr="00874FF5">
        <w:rPr>
          <w:rFonts w:cs="Arial"/>
        </w:rPr>
        <w:t>Pay Plan/Series/Grade/Step: GS-301-11/3</w:t>
      </w:r>
    </w:p>
    <w:p w:rsidR="00874FF5" w:rsidRPr="00874FF5" w:rsidRDefault="00874FF5" w:rsidP="00A02396">
      <w:pPr>
        <w:ind w:left="3600"/>
        <w:rPr>
          <w:rFonts w:cs="Arial"/>
        </w:rPr>
      </w:pPr>
      <w:r w:rsidRPr="00874FF5">
        <w:rPr>
          <w:rFonts w:cs="Arial"/>
        </w:rPr>
        <w:t xml:space="preserve">Rate: $60,208 </w:t>
      </w:r>
    </w:p>
    <w:p w:rsidR="004C3986" w:rsidRDefault="00874FF5" w:rsidP="000D4D38">
      <w:pPr>
        <w:spacing w:before="240"/>
        <w:ind w:left="720"/>
        <w:rPr>
          <w:rFonts w:cs="Arial"/>
        </w:rPr>
      </w:pPr>
      <w:r w:rsidRPr="00874FF5">
        <w:rPr>
          <w:rFonts w:cs="Arial"/>
        </w:rPr>
        <w:t>This employee will be reassigned to the GS-301-11/3 with an annual basic rate of pay of $60,208.</w:t>
      </w:r>
    </w:p>
    <w:p w:rsidR="004C3986" w:rsidRDefault="004C3986" w:rsidP="000D4D38">
      <w:pPr>
        <w:spacing w:before="240"/>
        <w:rPr>
          <w:rFonts w:cs="Arial"/>
          <w:b/>
        </w:rPr>
      </w:pPr>
      <w:r>
        <w:rPr>
          <w:rFonts w:cs="Arial"/>
          <w:b/>
        </w:rPr>
        <w:t xml:space="preserve">New Position Title:  </w:t>
      </w:r>
      <w:r>
        <w:rPr>
          <w:rFonts w:cs="Arial"/>
          <w:u w:val="single"/>
        </w:rPr>
        <w:t>Human Resources Specialist</w:t>
      </w:r>
      <w:r>
        <w:rPr>
          <w:rFonts w:cs="Arial"/>
          <w:b/>
        </w:rPr>
        <w:t xml:space="preserve"> </w:t>
      </w:r>
    </w:p>
    <w:p w:rsidR="004C3986" w:rsidRDefault="004C3986">
      <w:pPr>
        <w:rPr>
          <w:rFonts w:cs="Arial"/>
          <w:bCs/>
        </w:rPr>
      </w:pPr>
      <w:r>
        <w:rPr>
          <w:rFonts w:cs="Arial"/>
          <w:b/>
        </w:rPr>
        <w:t xml:space="preserve">New Official Worksite: </w:t>
      </w:r>
      <w:smartTag w:uri="urn:schemas-microsoft-com:office:smarttags" w:element="place">
        <w:smartTag w:uri="urn:schemas-microsoft-com:office:smarttags" w:element="City">
          <w:r>
            <w:rPr>
              <w:rFonts w:cs="Arial"/>
              <w:bCs/>
              <w:u w:val="single"/>
            </w:rPr>
            <w:t>Houston</w:t>
          </w:r>
        </w:smartTag>
        <w:r>
          <w:rPr>
            <w:rFonts w:cs="Arial"/>
            <w:bCs/>
            <w:u w:val="single"/>
          </w:rPr>
          <w:t xml:space="preserve">, </w:t>
        </w:r>
        <w:smartTag w:uri="urn:schemas-microsoft-com:office:smarttags" w:element="State">
          <w:r>
            <w:rPr>
              <w:rFonts w:cs="Arial"/>
              <w:bCs/>
              <w:u w:val="single"/>
            </w:rPr>
            <w:t>TX</w:t>
          </w:r>
        </w:smartTag>
      </w:smartTag>
      <w:r>
        <w:rPr>
          <w:rFonts w:cs="Arial"/>
          <w:b/>
        </w:rPr>
        <w:t xml:space="preserve"> </w:t>
      </w:r>
    </w:p>
    <w:p w:rsidR="004C3986" w:rsidRDefault="004C3986">
      <w:pPr>
        <w:rPr>
          <w:rFonts w:cs="Arial"/>
          <w:b/>
        </w:rPr>
      </w:pPr>
      <w:r>
        <w:rPr>
          <w:rFonts w:cs="Arial"/>
          <w:b/>
        </w:rPr>
        <w:t xml:space="preserve">New Pay Plan, Series, Grade and Step:  </w:t>
      </w:r>
      <w:r>
        <w:rPr>
          <w:rFonts w:cs="Arial"/>
          <w:u w:val="single"/>
        </w:rPr>
        <w:t>GS-301-11/3</w:t>
      </w:r>
    </w:p>
    <w:p w:rsidR="004C3986" w:rsidRDefault="004C3986">
      <w:pPr>
        <w:rPr>
          <w:rFonts w:cs="Arial"/>
          <w:b/>
          <w:u w:val="single"/>
        </w:rPr>
      </w:pPr>
      <w:r>
        <w:rPr>
          <w:rFonts w:cs="Arial"/>
          <w:b/>
        </w:rPr>
        <w:t xml:space="preserve">New Rate of Basic Pay (includes </w:t>
      </w:r>
      <w:smartTag w:uri="urn:schemas-microsoft-com:office:smarttags" w:element="place">
        <w:smartTag w:uri="urn:schemas-microsoft-com:office:smarttags" w:element="City">
          <w:r>
            <w:rPr>
              <w:rFonts w:cs="Arial"/>
              <w:b/>
            </w:rPr>
            <w:t>Houston</w:t>
          </w:r>
        </w:smartTag>
        <w:r>
          <w:rPr>
            <w:rFonts w:cs="Arial"/>
            <w:b/>
          </w:rPr>
          <w:t xml:space="preserve">, </w:t>
        </w:r>
        <w:smartTag w:uri="urn:schemas-microsoft-com:office:smarttags" w:element="State">
          <w:r>
            <w:rPr>
              <w:rFonts w:cs="Arial"/>
              <w:b/>
            </w:rPr>
            <w:t>TX</w:t>
          </w:r>
        </w:smartTag>
      </w:smartTag>
      <w:r>
        <w:rPr>
          <w:rFonts w:cs="Arial"/>
          <w:b/>
        </w:rPr>
        <w:t xml:space="preserve"> Area locality supplement):  </w:t>
      </w:r>
      <w:r>
        <w:rPr>
          <w:rFonts w:cs="Arial"/>
          <w:u w:val="single"/>
        </w:rPr>
        <w:t>$60,208</w:t>
      </w:r>
    </w:p>
    <w:sectPr w:rsidR="004C3986">
      <w:headerReference w:type="even" r:id="rId7"/>
      <w:headerReference w:type="first" r:id="rId8"/>
      <w:pgSz w:w="12240" w:h="15840" w:code="1"/>
      <w:pgMar w:top="3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60" w:rsidRDefault="00824C60">
      <w:r>
        <w:separator/>
      </w:r>
    </w:p>
  </w:endnote>
  <w:endnote w:type="continuationSeparator" w:id="0">
    <w:p w:rsidR="00824C60" w:rsidRDefault="0082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60" w:rsidRDefault="00824C60">
      <w:r>
        <w:separator/>
      </w:r>
    </w:p>
  </w:footnote>
  <w:footnote w:type="continuationSeparator" w:id="0">
    <w:p w:rsidR="00824C60" w:rsidRDefault="00824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86" w:rsidRDefault="004C22C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black"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86" w:rsidRDefault="004C22C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black"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67"/>
    <w:rsid w:val="000D4D38"/>
    <w:rsid w:val="00272A67"/>
    <w:rsid w:val="003B74BA"/>
    <w:rsid w:val="004919B0"/>
    <w:rsid w:val="004A1BF0"/>
    <w:rsid w:val="004C22C0"/>
    <w:rsid w:val="004C3986"/>
    <w:rsid w:val="007248E5"/>
    <w:rsid w:val="00824C60"/>
    <w:rsid w:val="00855D53"/>
    <w:rsid w:val="00874FF5"/>
    <w:rsid w:val="00A02396"/>
    <w:rsid w:val="00A8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B0"/>
    <w:rPr>
      <w:rFonts w:ascii="Arial" w:hAnsi="Arial"/>
      <w:sz w:val="24"/>
      <w:szCs w:val="24"/>
    </w:rPr>
  </w:style>
  <w:style w:type="paragraph" w:styleId="Heading1">
    <w:name w:val="heading 1"/>
    <w:basedOn w:val="Normal"/>
    <w:next w:val="Normal"/>
    <w:qFormat/>
    <w:rsid w:val="004919B0"/>
    <w:pPr>
      <w:framePr w:hSpace="180" w:wrap="around" w:vAnchor="text" w:hAnchor="margin" w:y="-20"/>
      <w:spacing w:before="100" w:beforeAutospacing="1" w:after="100" w:afterAutospacing="1"/>
      <w:suppressOverlap/>
      <w:outlineLvl w:val="0"/>
    </w:pPr>
    <w:rPr>
      <w:rFonts w:cs="Arial"/>
      <w:b/>
      <w:bCs/>
      <w:color w:val="800000"/>
      <w:szCs w:val="20"/>
    </w:rPr>
  </w:style>
  <w:style w:type="paragraph" w:styleId="Heading2">
    <w:name w:val="heading 2"/>
    <w:basedOn w:val="Normal"/>
    <w:next w:val="Normal"/>
    <w:qFormat/>
    <w:rsid w:val="004C22C0"/>
    <w:pPr>
      <w:outlineLvl w:val="1"/>
    </w:pPr>
    <w:rPr>
      <w:rFonts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0D4D38"/>
    <w:rPr>
      <w:rFonts w:ascii="Arial" w:hAnsi="Arial"/>
      <w:b/>
      <w:bCs/>
      <w:sz w:val="24"/>
    </w:rPr>
  </w:style>
  <w:style w:type="paragraph" w:styleId="BodyText">
    <w:name w:val="Body Text"/>
    <w:basedOn w:val="Normal"/>
    <w:link w:val="BodyTextChar"/>
    <w:rsid w:val="00A842DC"/>
    <w:pPr>
      <w:spacing w:before="100" w:beforeAutospacing="1" w:after="100" w:afterAutospacing="1"/>
    </w:pPr>
    <w:rPr>
      <w:rFonts w:cs="Arial"/>
      <w:color w:val="000000"/>
      <w:sz w:val="18"/>
      <w:szCs w:val="19"/>
    </w:rPr>
  </w:style>
  <w:style w:type="table" w:customStyle="1" w:styleId="TableStyle1">
    <w:name w:val="Table Style 1"/>
    <w:basedOn w:val="TableNormal"/>
    <w:rsid w:val="00A842DC"/>
    <w:rPr>
      <w:rFonts w:ascii="Arial" w:hAnsi="Arial"/>
      <w:sz w:val="18"/>
    </w:rPr>
    <w:tblPr>
      <w:tblInd w:w="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cs="Arial"/>
      <w:b/>
      <w:sz w:val="28"/>
      <w:szCs w:val="28"/>
    </w:rPr>
  </w:style>
  <w:style w:type="character" w:customStyle="1" w:styleId="BodyTextChar">
    <w:name w:val="Body Text Char"/>
    <w:basedOn w:val="DefaultParagraphFont"/>
    <w:link w:val="BodyText"/>
    <w:rsid w:val="00A842DC"/>
    <w:rPr>
      <w:rFonts w:ascii="Arial" w:hAnsi="Arial" w:cs="Arial"/>
      <w:color w:val="000000"/>
      <w:sz w:val="18"/>
      <w:szCs w:val="19"/>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B0"/>
    <w:rPr>
      <w:rFonts w:ascii="Arial" w:hAnsi="Arial"/>
      <w:sz w:val="24"/>
      <w:szCs w:val="24"/>
    </w:rPr>
  </w:style>
  <w:style w:type="paragraph" w:styleId="Heading1">
    <w:name w:val="heading 1"/>
    <w:basedOn w:val="Normal"/>
    <w:next w:val="Normal"/>
    <w:qFormat/>
    <w:rsid w:val="004919B0"/>
    <w:pPr>
      <w:framePr w:hSpace="180" w:wrap="around" w:vAnchor="text" w:hAnchor="margin" w:y="-20"/>
      <w:spacing w:before="100" w:beforeAutospacing="1" w:after="100" w:afterAutospacing="1"/>
      <w:suppressOverlap/>
      <w:outlineLvl w:val="0"/>
    </w:pPr>
    <w:rPr>
      <w:rFonts w:cs="Arial"/>
      <w:b/>
      <w:bCs/>
      <w:color w:val="800000"/>
      <w:szCs w:val="20"/>
    </w:rPr>
  </w:style>
  <w:style w:type="paragraph" w:styleId="Heading2">
    <w:name w:val="heading 2"/>
    <w:basedOn w:val="Normal"/>
    <w:next w:val="Normal"/>
    <w:qFormat/>
    <w:rsid w:val="004C22C0"/>
    <w:pPr>
      <w:outlineLvl w:val="1"/>
    </w:pPr>
    <w:rPr>
      <w:rFonts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0D4D38"/>
    <w:rPr>
      <w:rFonts w:ascii="Arial" w:hAnsi="Arial"/>
      <w:b/>
      <w:bCs/>
      <w:sz w:val="24"/>
    </w:rPr>
  </w:style>
  <w:style w:type="paragraph" w:styleId="BodyText">
    <w:name w:val="Body Text"/>
    <w:basedOn w:val="Normal"/>
    <w:link w:val="BodyTextChar"/>
    <w:rsid w:val="00A842DC"/>
    <w:pPr>
      <w:spacing w:before="100" w:beforeAutospacing="1" w:after="100" w:afterAutospacing="1"/>
    </w:pPr>
    <w:rPr>
      <w:rFonts w:cs="Arial"/>
      <w:color w:val="000000"/>
      <w:sz w:val="18"/>
      <w:szCs w:val="19"/>
    </w:rPr>
  </w:style>
  <w:style w:type="table" w:customStyle="1" w:styleId="TableStyle1">
    <w:name w:val="Table Style 1"/>
    <w:basedOn w:val="TableNormal"/>
    <w:rsid w:val="00A842DC"/>
    <w:rPr>
      <w:rFonts w:ascii="Arial" w:hAnsi="Arial"/>
      <w:sz w:val="18"/>
    </w:rPr>
    <w:tblPr>
      <w:tblInd w:w="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cs="Arial"/>
      <w:b/>
      <w:sz w:val="28"/>
      <w:szCs w:val="28"/>
    </w:rPr>
  </w:style>
  <w:style w:type="character" w:customStyle="1" w:styleId="BodyTextChar">
    <w:name w:val="Body Text Char"/>
    <w:basedOn w:val="DefaultParagraphFont"/>
    <w:link w:val="BodyText"/>
    <w:rsid w:val="00A842DC"/>
    <w:rPr>
      <w:rFonts w:ascii="Arial" w:hAnsi="Arial" w:cs="Arial"/>
      <w:color w:val="000000"/>
      <w:sz w:val="18"/>
      <w:szCs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8424">
      <w:bodyDiv w:val="1"/>
      <w:marLeft w:val="0"/>
      <w:marRight w:val="0"/>
      <w:marTop w:val="0"/>
      <w:marBottom w:val="0"/>
      <w:divBdr>
        <w:top w:val="none" w:sz="0" w:space="0" w:color="auto"/>
        <w:left w:val="none" w:sz="0" w:space="0" w:color="auto"/>
        <w:bottom w:val="none" w:sz="0" w:space="0" w:color="auto"/>
        <w:right w:val="none" w:sz="0" w:space="0" w:color="auto"/>
      </w:divBdr>
    </w:div>
    <w:div w:id="18768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Example - Reassignment, Non-Special Rate to Non-Special Rate</vt:lpstr>
    </vt:vector>
  </TitlesOfParts>
  <Company>CDC/ATSDR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Reassignment, Non-Special Rate to Non-Special Rate</dc:title>
  <dc:subject>Pay Setting Worksheets</dc:subject>
  <dc:creator>U.S. Department of Health and Human Services (HHS)</dc:creator>
  <cp:keywords>pay setting, sample, example, reassignment, non-special rate, change in geographic location</cp:keywords>
  <dc:description>Passed Accessibility_x000d_
checker 8/23/2012</dc:description>
  <cp:lastModifiedBy>Pham, Kimlinh (NIH/OD) [E]</cp:lastModifiedBy>
  <cp:revision>2</cp:revision>
  <cp:lastPrinted>2005-07-18T15:41:00Z</cp:lastPrinted>
  <dcterms:created xsi:type="dcterms:W3CDTF">2012-08-28T18:15:00Z</dcterms:created>
  <dcterms:modified xsi:type="dcterms:W3CDTF">2012-08-28T18:15:00Z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