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BE7" w:rsidRPr="000F19F7" w:rsidRDefault="00682BE7" w:rsidP="000F19F7">
      <w:pPr>
        <w:pStyle w:val="Title"/>
        <w:rPr>
          <w:bCs/>
          <w:sz w:val="24"/>
        </w:rPr>
      </w:pPr>
      <w:r w:rsidRPr="000F19F7">
        <w:rPr>
          <w:bCs/>
          <w:sz w:val="24"/>
        </w:rPr>
        <w:t>SP2 – A -- SAMPLE</w:t>
      </w:r>
    </w:p>
    <w:p w:rsidR="00682BE7" w:rsidRPr="000F19F7" w:rsidRDefault="00682BE7" w:rsidP="000F19F7">
      <w:pPr>
        <w:pStyle w:val="Title"/>
        <w:rPr>
          <w:bCs/>
          <w:sz w:val="24"/>
        </w:rPr>
      </w:pPr>
      <w:r w:rsidRPr="000F19F7">
        <w:rPr>
          <w:bCs/>
          <w:sz w:val="24"/>
        </w:rPr>
        <w:t xml:space="preserve"> Promotion – (Employee on Pay Retention) from GS-11 to GS-12  </w:t>
      </w:r>
    </w:p>
    <w:p w:rsidR="00682BE7" w:rsidRPr="0046738A" w:rsidRDefault="00682BE7">
      <w:pPr>
        <w:pBdr>
          <w:top w:val="single" w:sz="4" w:space="1" w:color="auto"/>
          <w:left w:val="single" w:sz="4" w:space="4" w:color="auto"/>
          <w:bottom w:val="single" w:sz="4" w:space="1" w:color="auto"/>
          <w:right w:val="single" w:sz="4" w:space="4" w:color="auto"/>
        </w:pBdr>
        <w:jc w:val="center"/>
      </w:pPr>
      <w:r w:rsidRPr="0046738A">
        <w:t>Non-Special Rate to Non-Special Rate (</w:t>
      </w:r>
      <w:r w:rsidRPr="009171FE">
        <w:rPr>
          <w:rStyle w:val="Strong"/>
        </w:rPr>
        <w:t>no change</w:t>
      </w:r>
      <w:r w:rsidRPr="0046738A">
        <w:t xml:space="preserve"> in geographic location)</w:t>
      </w:r>
    </w:p>
    <w:p w:rsidR="00682BE7" w:rsidRPr="0046738A" w:rsidRDefault="00682BE7" w:rsidP="004F1825">
      <w:pPr>
        <w:rPr>
          <w:b/>
        </w:rPr>
      </w:pPr>
    </w:p>
    <w:p w:rsidR="00682BE7" w:rsidRPr="001F1DCA" w:rsidRDefault="00682BE7" w:rsidP="001F1DCA">
      <w:r w:rsidRPr="009171FE">
        <w:rPr>
          <w:rStyle w:val="Strong"/>
        </w:rPr>
        <w:t>Employee Name:</w:t>
      </w:r>
      <w:r w:rsidRPr="001F1DCA">
        <w:t xml:space="preserve">  </w:t>
      </w:r>
      <w:r w:rsidRPr="001F1DCA">
        <w:rPr>
          <w:bCs/>
        </w:rPr>
        <w:t>Bobby Jones</w:t>
      </w:r>
      <w:r w:rsidRPr="001F1DCA">
        <w:t xml:space="preserve"> </w:t>
      </w:r>
    </w:p>
    <w:p w:rsidR="00682BE7" w:rsidRPr="001F1DCA" w:rsidRDefault="00682BE7" w:rsidP="001F1DCA">
      <w:r w:rsidRPr="009171FE">
        <w:rPr>
          <w:rStyle w:val="Strong"/>
        </w:rPr>
        <w:t>Current Position Title:</w:t>
      </w:r>
      <w:r w:rsidRPr="001F1DCA">
        <w:t xml:space="preserve">  Staff Assistant </w:t>
      </w:r>
    </w:p>
    <w:p w:rsidR="00682BE7" w:rsidRPr="001F1DCA" w:rsidRDefault="00682BE7" w:rsidP="001F1DCA">
      <w:r w:rsidRPr="009171FE">
        <w:rPr>
          <w:rStyle w:val="Strong"/>
        </w:rPr>
        <w:t>Current Pay Plan, Series, Grade and Step:</w:t>
      </w:r>
      <w:r w:rsidRPr="001F1DCA">
        <w:t xml:space="preserve">  GS-301-11/00</w:t>
      </w:r>
    </w:p>
    <w:p w:rsidR="00682BE7" w:rsidRPr="001F1DCA" w:rsidRDefault="00682BE7" w:rsidP="001F1DCA">
      <w:r w:rsidRPr="009171FE">
        <w:rPr>
          <w:rStyle w:val="Strong"/>
        </w:rPr>
        <w:t>Current Rate of Retained Pay (includes locality supplement):</w:t>
      </w:r>
      <w:r w:rsidRPr="001F1DCA">
        <w:t xml:space="preserve">  $66,746 </w:t>
      </w:r>
    </w:p>
    <w:p w:rsidR="003C6CC6" w:rsidRPr="0046738A" w:rsidRDefault="003C6CC6" w:rsidP="003C6CC6"/>
    <w:p w:rsidR="003C6CC6" w:rsidRPr="0046738A" w:rsidRDefault="000F19F7" w:rsidP="003C6CC6">
      <w:pPr>
        <w:pStyle w:val="Heading1"/>
        <w:framePr w:hSpace="0" w:wrap="auto" w:vAnchor="margin" w:hAnchor="text" w:yAlign="inline"/>
        <w:rPr>
          <w:szCs w:val="24"/>
        </w:rPr>
      </w:pPr>
      <w:r>
        <w:rPr>
          <w:szCs w:val="24"/>
        </w:rPr>
        <w:t>Step A</w:t>
      </w:r>
    </w:p>
    <w:p w:rsidR="003C6CC6" w:rsidRPr="0046738A" w:rsidRDefault="003C6CC6" w:rsidP="0046738A">
      <w:pPr>
        <w:ind w:left="1440"/>
      </w:pPr>
      <w:r w:rsidRPr="0046738A">
        <w:t xml:space="preserve">Apply the two-step promotion rule using the maximum rate of the employee’s current grade (Step 10) on the underlying General Schedule (without locality) Pay Scale. </w:t>
      </w:r>
    </w:p>
    <w:p w:rsidR="003C6CC6" w:rsidRPr="000F19F7" w:rsidRDefault="003C6CC6" w:rsidP="000F19F7">
      <w:pPr>
        <w:pStyle w:val="Heading2"/>
      </w:pPr>
      <w:bookmarkStart w:id="0" w:name="_GoBack"/>
      <w:r w:rsidRPr="000F19F7">
        <w:t>2005 GS Pay Scale:</w:t>
      </w:r>
    </w:p>
    <w:tbl>
      <w:tblPr>
        <w:tblStyle w:val="TableGrid"/>
        <w:tblW w:w="1964" w:type="dxa"/>
        <w:tblInd w:w="3713" w:type="dxa"/>
        <w:tblLook w:val="04A0" w:firstRow="1" w:lastRow="0" w:firstColumn="1" w:lastColumn="0" w:noHBand="0" w:noVBand="1"/>
        <w:tblCaption w:val="2005 GS Pay Scale Table "/>
      </w:tblPr>
      <w:tblGrid>
        <w:gridCol w:w="1004"/>
        <w:gridCol w:w="960"/>
      </w:tblGrid>
      <w:tr w:rsidR="00800F92" w:rsidRPr="00800F92" w:rsidTr="000F19F7">
        <w:trPr>
          <w:cantSplit/>
          <w:trHeight w:val="315"/>
          <w:tblHeader/>
        </w:trPr>
        <w:tc>
          <w:tcPr>
            <w:tcW w:w="1004" w:type="dxa"/>
            <w:noWrap/>
            <w:hideMark/>
          </w:tcPr>
          <w:bookmarkEnd w:id="0"/>
          <w:p w:rsidR="00800F92" w:rsidRPr="00800F92" w:rsidRDefault="00800F92" w:rsidP="00800F92">
            <w:pPr>
              <w:rPr>
                <w:rFonts w:cs="Arial"/>
                <w:color w:val="000000"/>
              </w:rPr>
            </w:pPr>
            <w:r w:rsidRPr="00800F92">
              <w:rPr>
                <w:rFonts w:cs="Arial"/>
                <w:color w:val="000000"/>
              </w:rPr>
              <w:t>Grade</w:t>
            </w:r>
          </w:p>
        </w:tc>
        <w:tc>
          <w:tcPr>
            <w:tcW w:w="960" w:type="dxa"/>
            <w:noWrap/>
            <w:hideMark/>
          </w:tcPr>
          <w:p w:rsidR="00800F92" w:rsidRPr="00800F92" w:rsidRDefault="00800F92" w:rsidP="00800F92">
            <w:pPr>
              <w:jc w:val="right"/>
              <w:rPr>
                <w:rFonts w:cs="Arial"/>
                <w:color w:val="000000"/>
              </w:rPr>
            </w:pPr>
            <w:r w:rsidRPr="00800F92">
              <w:rPr>
                <w:rFonts w:cs="Arial"/>
                <w:color w:val="000000"/>
              </w:rPr>
              <w:t>11</w:t>
            </w:r>
          </w:p>
        </w:tc>
      </w:tr>
      <w:tr w:rsidR="00800F92" w:rsidRPr="00800F92" w:rsidTr="000F19F7">
        <w:trPr>
          <w:cantSplit/>
          <w:trHeight w:val="315"/>
        </w:trPr>
        <w:tc>
          <w:tcPr>
            <w:tcW w:w="1004" w:type="dxa"/>
            <w:noWrap/>
            <w:hideMark/>
          </w:tcPr>
          <w:p w:rsidR="00800F92" w:rsidRPr="00800F92" w:rsidRDefault="00800F92" w:rsidP="00800F92">
            <w:pPr>
              <w:rPr>
                <w:rFonts w:cs="Arial"/>
                <w:color w:val="000000"/>
              </w:rPr>
            </w:pPr>
            <w:r w:rsidRPr="00800F92">
              <w:rPr>
                <w:rFonts w:cs="Arial"/>
                <w:color w:val="000000"/>
              </w:rPr>
              <w:t xml:space="preserve">Step 1 </w:t>
            </w:r>
          </w:p>
        </w:tc>
        <w:tc>
          <w:tcPr>
            <w:tcW w:w="960" w:type="dxa"/>
            <w:noWrap/>
            <w:hideMark/>
          </w:tcPr>
          <w:p w:rsidR="00800F92" w:rsidRPr="00800F92" w:rsidRDefault="00800F92" w:rsidP="00800F92">
            <w:pPr>
              <w:jc w:val="right"/>
              <w:rPr>
                <w:rFonts w:cs="Arial"/>
                <w:color w:val="000000"/>
              </w:rPr>
            </w:pPr>
            <w:r w:rsidRPr="00800F92">
              <w:rPr>
                <w:rFonts w:cs="Arial"/>
                <w:color w:val="000000"/>
              </w:rPr>
              <w:t>45,239</w:t>
            </w:r>
          </w:p>
        </w:tc>
      </w:tr>
      <w:tr w:rsidR="00800F92" w:rsidRPr="00800F92" w:rsidTr="000F19F7">
        <w:trPr>
          <w:cantSplit/>
          <w:trHeight w:val="315"/>
        </w:trPr>
        <w:tc>
          <w:tcPr>
            <w:tcW w:w="1004" w:type="dxa"/>
            <w:noWrap/>
            <w:hideMark/>
          </w:tcPr>
          <w:p w:rsidR="00800F92" w:rsidRPr="00800F92" w:rsidRDefault="00800F92" w:rsidP="00800F92">
            <w:pPr>
              <w:rPr>
                <w:rFonts w:cs="Arial"/>
                <w:color w:val="000000"/>
              </w:rPr>
            </w:pPr>
            <w:r w:rsidRPr="00800F92">
              <w:rPr>
                <w:rFonts w:cs="Arial"/>
                <w:color w:val="000000"/>
              </w:rPr>
              <w:t>Step 2</w:t>
            </w:r>
          </w:p>
        </w:tc>
        <w:tc>
          <w:tcPr>
            <w:tcW w:w="960" w:type="dxa"/>
            <w:noWrap/>
            <w:hideMark/>
          </w:tcPr>
          <w:p w:rsidR="00800F92" w:rsidRPr="00800F92" w:rsidRDefault="00800F92" w:rsidP="00800F92">
            <w:pPr>
              <w:jc w:val="right"/>
              <w:rPr>
                <w:rFonts w:cs="Arial"/>
                <w:color w:val="000000"/>
              </w:rPr>
            </w:pPr>
            <w:r w:rsidRPr="00800F92">
              <w:rPr>
                <w:rFonts w:cs="Arial"/>
                <w:color w:val="000000"/>
              </w:rPr>
              <w:t>46,747</w:t>
            </w:r>
          </w:p>
        </w:tc>
      </w:tr>
      <w:tr w:rsidR="00800F92" w:rsidRPr="00800F92" w:rsidTr="000F19F7">
        <w:trPr>
          <w:cantSplit/>
          <w:trHeight w:val="315"/>
        </w:trPr>
        <w:tc>
          <w:tcPr>
            <w:tcW w:w="1004" w:type="dxa"/>
            <w:noWrap/>
            <w:hideMark/>
          </w:tcPr>
          <w:p w:rsidR="00800F92" w:rsidRPr="00800F92" w:rsidRDefault="00800F92" w:rsidP="00800F92">
            <w:pPr>
              <w:rPr>
                <w:rFonts w:cs="Arial"/>
                <w:color w:val="000000"/>
              </w:rPr>
            </w:pPr>
            <w:r w:rsidRPr="00800F92">
              <w:rPr>
                <w:rFonts w:cs="Arial"/>
                <w:color w:val="000000"/>
              </w:rPr>
              <w:t>Step 3</w:t>
            </w:r>
          </w:p>
        </w:tc>
        <w:tc>
          <w:tcPr>
            <w:tcW w:w="960" w:type="dxa"/>
            <w:noWrap/>
            <w:hideMark/>
          </w:tcPr>
          <w:p w:rsidR="00800F92" w:rsidRPr="00800F92" w:rsidRDefault="00800F92" w:rsidP="00800F92">
            <w:pPr>
              <w:jc w:val="right"/>
              <w:rPr>
                <w:rFonts w:cs="Arial"/>
                <w:color w:val="000000"/>
              </w:rPr>
            </w:pPr>
            <w:r w:rsidRPr="00800F92">
              <w:rPr>
                <w:rFonts w:cs="Arial"/>
                <w:color w:val="000000"/>
              </w:rPr>
              <w:t>48,255</w:t>
            </w:r>
          </w:p>
        </w:tc>
      </w:tr>
      <w:tr w:rsidR="00800F92" w:rsidRPr="00800F92" w:rsidTr="000F19F7">
        <w:trPr>
          <w:cantSplit/>
          <w:trHeight w:val="315"/>
        </w:trPr>
        <w:tc>
          <w:tcPr>
            <w:tcW w:w="1004" w:type="dxa"/>
            <w:noWrap/>
            <w:hideMark/>
          </w:tcPr>
          <w:p w:rsidR="00800F92" w:rsidRPr="00800F92" w:rsidRDefault="00800F92" w:rsidP="00800F92">
            <w:pPr>
              <w:rPr>
                <w:rFonts w:cs="Arial"/>
                <w:color w:val="000000"/>
              </w:rPr>
            </w:pPr>
            <w:r w:rsidRPr="00800F92">
              <w:rPr>
                <w:rFonts w:cs="Arial"/>
                <w:color w:val="000000"/>
              </w:rPr>
              <w:t>Step 4</w:t>
            </w:r>
          </w:p>
        </w:tc>
        <w:tc>
          <w:tcPr>
            <w:tcW w:w="960" w:type="dxa"/>
            <w:noWrap/>
            <w:hideMark/>
          </w:tcPr>
          <w:p w:rsidR="00800F92" w:rsidRPr="00800F92" w:rsidRDefault="00800F92" w:rsidP="00800F92">
            <w:pPr>
              <w:jc w:val="right"/>
              <w:rPr>
                <w:rFonts w:cs="Arial"/>
                <w:color w:val="000000"/>
              </w:rPr>
            </w:pPr>
            <w:r w:rsidRPr="00800F92">
              <w:rPr>
                <w:rFonts w:cs="Arial"/>
                <w:color w:val="000000"/>
              </w:rPr>
              <w:t>49,763</w:t>
            </w:r>
          </w:p>
        </w:tc>
      </w:tr>
      <w:tr w:rsidR="00800F92" w:rsidRPr="00800F92" w:rsidTr="000F19F7">
        <w:trPr>
          <w:cantSplit/>
          <w:trHeight w:val="315"/>
        </w:trPr>
        <w:tc>
          <w:tcPr>
            <w:tcW w:w="1004" w:type="dxa"/>
            <w:noWrap/>
            <w:hideMark/>
          </w:tcPr>
          <w:p w:rsidR="00800F92" w:rsidRPr="00800F92" w:rsidRDefault="00800F92" w:rsidP="00800F92">
            <w:pPr>
              <w:rPr>
                <w:rFonts w:cs="Arial"/>
                <w:color w:val="000000"/>
              </w:rPr>
            </w:pPr>
            <w:r w:rsidRPr="00800F92">
              <w:rPr>
                <w:rFonts w:cs="Arial"/>
                <w:color w:val="000000"/>
              </w:rPr>
              <w:t>Step 5</w:t>
            </w:r>
          </w:p>
        </w:tc>
        <w:tc>
          <w:tcPr>
            <w:tcW w:w="960" w:type="dxa"/>
            <w:noWrap/>
            <w:hideMark/>
          </w:tcPr>
          <w:p w:rsidR="00800F92" w:rsidRPr="00800F92" w:rsidRDefault="00800F92" w:rsidP="00800F92">
            <w:pPr>
              <w:jc w:val="right"/>
              <w:rPr>
                <w:rFonts w:cs="Arial"/>
                <w:color w:val="000000"/>
              </w:rPr>
            </w:pPr>
            <w:r w:rsidRPr="00800F92">
              <w:rPr>
                <w:rFonts w:cs="Arial"/>
                <w:color w:val="000000"/>
              </w:rPr>
              <w:t>51,271</w:t>
            </w:r>
          </w:p>
        </w:tc>
      </w:tr>
      <w:tr w:rsidR="00800F92" w:rsidRPr="00800F92" w:rsidTr="000F19F7">
        <w:trPr>
          <w:cantSplit/>
          <w:trHeight w:val="315"/>
        </w:trPr>
        <w:tc>
          <w:tcPr>
            <w:tcW w:w="1004" w:type="dxa"/>
            <w:noWrap/>
            <w:hideMark/>
          </w:tcPr>
          <w:p w:rsidR="00800F92" w:rsidRPr="00800F92" w:rsidRDefault="00800F92" w:rsidP="00800F92">
            <w:pPr>
              <w:rPr>
                <w:rFonts w:cs="Arial"/>
                <w:color w:val="000000"/>
              </w:rPr>
            </w:pPr>
            <w:r w:rsidRPr="00800F92">
              <w:rPr>
                <w:rFonts w:cs="Arial"/>
                <w:color w:val="000000"/>
              </w:rPr>
              <w:t>Step 6</w:t>
            </w:r>
          </w:p>
        </w:tc>
        <w:tc>
          <w:tcPr>
            <w:tcW w:w="960" w:type="dxa"/>
            <w:noWrap/>
            <w:hideMark/>
          </w:tcPr>
          <w:p w:rsidR="00800F92" w:rsidRPr="00800F92" w:rsidRDefault="00800F92" w:rsidP="00800F92">
            <w:pPr>
              <w:jc w:val="right"/>
              <w:rPr>
                <w:rFonts w:cs="Arial"/>
                <w:color w:val="000000"/>
              </w:rPr>
            </w:pPr>
            <w:r w:rsidRPr="00800F92">
              <w:rPr>
                <w:rFonts w:cs="Arial"/>
                <w:color w:val="000000"/>
              </w:rPr>
              <w:t>52,779</w:t>
            </w:r>
          </w:p>
        </w:tc>
      </w:tr>
      <w:tr w:rsidR="00800F92" w:rsidRPr="00800F92" w:rsidTr="000F19F7">
        <w:trPr>
          <w:cantSplit/>
          <w:trHeight w:val="315"/>
        </w:trPr>
        <w:tc>
          <w:tcPr>
            <w:tcW w:w="1004" w:type="dxa"/>
            <w:noWrap/>
            <w:hideMark/>
          </w:tcPr>
          <w:p w:rsidR="00800F92" w:rsidRPr="00800F92" w:rsidRDefault="00800F92" w:rsidP="00800F92">
            <w:pPr>
              <w:rPr>
                <w:rFonts w:cs="Arial"/>
                <w:color w:val="000000"/>
              </w:rPr>
            </w:pPr>
            <w:r w:rsidRPr="00800F92">
              <w:rPr>
                <w:rFonts w:cs="Arial"/>
                <w:color w:val="000000"/>
              </w:rPr>
              <w:t>Step 7</w:t>
            </w:r>
          </w:p>
        </w:tc>
        <w:tc>
          <w:tcPr>
            <w:tcW w:w="960" w:type="dxa"/>
            <w:noWrap/>
            <w:hideMark/>
          </w:tcPr>
          <w:p w:rsidR="00800F92" w:rsidRPr="00800F92" w:rsidRDefault="00800F92" w:rsidP="00800F92">
            <w:pPr>
              <w:jc w:val="right"/>
              <w:rPr>
                <w:rFonts w:cs="Arial"/>
                <w:color w:val="000000"/>
              </w:rPr>
            </w:pPr>
            <w:r w:rsidRPr="00800F92">
              <w:rPr>
                <w:rFonts w:cs="Arial"/>
                <w:color w:val="000000"/>
              </w:rPr>
              <w:t>54,287</w:t>
            </w:r>
          </w:p>
        </w:tc>
      </w:tr>
      <w:tr w:rsidR="00800F92" w:rsidRPr="00800F92" w:rsidTr="000F19F7">
        <w:trPr>
          <w:cantSplit/>
          <w:trHeight w:val="315"/>
        </w:trPr>
        <w:tc>
          <w:tcPr>
            <w:tcW w:w="1004" w:type="dxa"/>
            <w:noWrap/>
            <w:hideMark/>
          </w:tcPr>
          <w:p w:rsidR="00800F92" w:rsidRPr="00800F92" w:rsidRDefault="00800F92" w:rsidP="00800F92">
            <w:pPr>
              <w:rPr>
                <w:rFonts w:cs="Arial"/>
                <w:color w:val="000000"/>
              </w:rPr>
            </w:pPr>
            <w:r w:rsidRPr="00800F92">
              <w:rPr>
                <w:rFonts w:cs="Arial"/>
                <w:color w:val="000000"/>
              </w:rPr>
              <w:t>Step 8</w:t>
            </w:r>
          </w:p>
        </w:tc>
        <w:tc>
          <w:tcPr>
            <w:tcW w:w="960" w:type="dxa"/>
            <w:noWrap/>
            <w:hideMark/>
          </w:tcPr>
          <w:p w:rsidR="00800F92" w:rsidRPr="00800F92" w:rsidRDefault="00800F92" w:rsidP="00800F92">
            <w:pPr>
              <w:jc w:val="right"/>
              <w:rPr>
                <w:rFonts w:cs="Arial"/>
                <w:color w:val="000000"/>
              </w:rPr>
            </w:pPr>
            <w:r w:rsidRPr="00800F92">
              <w:rPr>
                <w:rFonts w:cs="Arial"/>
                <w:color w:val="000000"/>
              </w:rPr>
              <w:t>55,795</w:t>
            </w:r>
          </w:p>
        </w:tc>
      </w:tr>
      <w:tr w:rsidR="00800F92" w:rsidRPr="00800F92" w:rsidTr="000F19F7">
        <w:trPr>
          <w:cantSplit/>
          <w:trHeight w:val="315"/>
        </w:trPr>
        <w:tc>
          <w:tcPr>
            <w:tcW w:w="1004" w:type="dxa"/>
            <w:noWrap/>
            <w:hideMark/>
          </w:tcPr>
          <w:p w:rsidR="00800F92" w:rsidRPr="00800F92" w:rsidRDefault="00800F92" w:rsidP="00800F92">
            <w:pPr>
              <w:rPr>
                <w:rFonts w:cs="Arial"/>
                <w:color w:val="000000"/>
              </w:rPr>
            </w:pPr>
            <w:r w:rsidRPr="00800F92">
              <w:rPr>
                <w:rFonts w:cs="Arial"/>
                <w:color w:val="000000"/>
              </w:rPr>
              <w:t>Step 9</w:t>
            </w:r>
          </w:p>
        </w:tc>
        <w:tc>
          <w:tcPr>
            <w:tcW w:w="960" w:type="dxa"/>
            <w:noWrap/>
            <w:hideMark/>
          </w:tcPr>
          <w:p w:rsidR="00800F92" w:rsidRPr="00800F92" w:rsidRDefault="00800F92" w:rsidP="00800F92">
            <w:pPr>
              <w:jc w:val="right"/>
              <w:rPr>
                <w:rFonts w:cs="Arial"/>
                <w:color w:val="000000"/>
              </w:rPr>
            </w:pPr>
            <w:r w:rsidRPr="00800F92">
              <w:rPr>
                <w:rFonts w:cs="Arial"/>
                <w:color w:val="000000"/>
              </w:rPr>
              <w:t>57,303</w:t>
            </w:r>
          </w:p>
        </w:tc>
      </w:tr>
      <w:tr w:rsidR="00800F92" w:rsidRPr="00800F92" w:rsidTr="000F19F7">
        <w:trPr>
          <w:cantSplit/>
          <w:trHeight w:val="315"/>
        </w:trPr>
        <w:tc>
          <w:tcPr>
            <w:tcW w:w="1004" w:type="dxa"/>
            <w:noWrap/>
            <w:hideMark/>
          </w:tcPr>
          <w:p w:rsidR="00800F92" w:rsidRPr="00800F92" w:rsidRDefault="00800F92" w:rsidP="00800F92">
            <w:pPr>
              <w:rPr>
                <w:rFonts w:cs="Arial"/>
                <w:color w:val="000000"/>
              </w:rPr>
            </w:pPr>
            <w:r w:rsidRPr="00800F92">
              <w:rPr>
                <w:rFonts w:cs="Arial"/>
                <w:color w:val="000000"/>
              </w:rPr>
              <w:t>Step 10</w:t>
            </w:r>
          </w:p>
        </w:tc>
        <w:tc>
          <w:tcPr>
            <w:tcW w:w="960" w:type="dxa"/>
            <w:noWrap/>
            <w:hideMark/>
          </w:tcPr>
          <w:p w:rsidR="00800F92" w:rsidRPr="00800F92" w:rsidRDefault="00800F92" w:rsidP="00800F92">
            <w:pPr>
              <w:jc w:val="right"/>
              <w:rPr>
                <w:rFonts w:cs="Arial"/>
                <w:color w:val="000000"/>
              </w:rPr>
            </w:pPr>
            <w:r w:rsidRPr="00800F92">
              <w:rPr>
                <w:rFonts w:cs="Arial"/>
                <w:color w:val="000000"/>
              </w:rPr>
              <w:t>58,811</w:t>
            </w:r>
          </w:p>
        </w:tc>
      </w:tr>
      <w:tr w:rsidR="00800F92" w:rsidRPr="00800F92" w:rsidTr="000F19F7">
        <w:trPr>
          <w:cantSplit/>
          <w:trHeight w:val="315"/>
        </w:trPr>
        <w:tc>
          <w:tcPr>
            <w:tcW w:w="1004" w:type="dxa"/>
            <w:noWrap/>
            <w:hideMark/>
          </w:tcPr>
          <w:p w:rsidR="00800F92" w:rsidRPr="00800F92" w:rsidRDefault="00800F92" w:rsidP="00800F92">
            <w:pPr>
              <w:rPr>
                <w:rFonts w:cs="Arial"/>
                <w:color w:val="000000"/>
              </w:rPr>
            </w:pPr>
            <w:r w:rsidRPr="00800F92">
              <w:rPr>
                <w:rFonts w:cs="Arial"/>
                <w:color w:val="000000"/>
              </w:rPr>
              <w:t xml:space="preserve">Interval </w:t>
            </w:r>
          </w:p>
        </w:tc>
        <w:tc>
          <w:tcPr>
            <w:tcW w:w="960" w:type="dxa"/>
            <w:noWrap/>
            <w:hideMark/>
          </w:tcPr>
          <w:p w:rsidR="00800F92" w:rsidRPr="00800F92" w:rsidRDefault="00800F92" w:rsidP="00800F92">
            <w:pPr>
              <w:jc w:val="right"/>
              <w:rPr>
                <w:rFonts w:cs="Arial"/>
                <w:color w:val="000000"/>
              </w:rPr>
            </w:pPr>
            <w:r w:rsidRPr="00800F92">
              <w:rPr>
                <w:rFonts w:cs="Arial"/>
                <w:color w:val="000000"/>
              </w:rPr>
              <w:t>1,508</w:t>
            </w:r>
          </w:p>
        </w:tc>
      </w:tr>
    </w:tbl>
    <w:p w:rsidR="003C6CC6" w:rsidRPr="0046738A" w:rsidRDefault="003C6CC6" w:rsidP="0046738A">
      <w:pPr>
        <w:ind w:left="1440"/>
      </w:pPr>
    </w:p>
    <w:p w:rsidR="003C6CC6" w:rsidRPr="0046738A" w:rsidRDefault="003C6CC6" w:rsidP="0046738A">
      <w:pPr>
        <w:ind w:left="1440"/>
      </w:pPr>
      <w:r w:rsidRPr="0046738A">
        <w:t>Increase the Step 10, by two step increases, which produces a rate of $61,827 ($58,811 + $1,508 x 2) = $61,827</w:t>
      </w:r>
    </w:p>
    <w:p w:rsidR="003C6CC6" w:rsidRPr="0046738A" w:rsidRDefault="003C6CC6" w:rsidP="0046738A">
      <w:pPr>
        <w:ind w:left="1440"/>
      </w:pPr>
    </w:p>
    <w:p w:rsidR="003C6CC6" w:rsidRPr="0046738A" w:rsidRDefault="003C6CC6" w:rsidP="001F1DCA">
      <w:pPr>
        <w:ind w:left="1440"/>
      </w:pPr>
      <w:r w:rsidRPr="0046738A">
        <w:t>Computed Rate: $61,827</w:t>
      </w:r>
    </w:p>
    <w:p w:rsidR="003C6CC6" w:rsidRPr="0046738A" w:rsidRDefault="000F19F7" w:rsidP="0046738A">
      <w:pPr>
        <w:pStyle w:val="Heading1"/>
        <w:framePr w:hSpace="0" w:wrap="auto" w:vAnchor="margin" w:hAnchor="text" w:yAlign="inline"/>
        <w:rPr>
          <w:szCs w:val="24"/>
        </w:rPr>
      </w:pPr>
      <w:r>
        <w:rPr>
          <w:szCs w:val="24"/>
        </w:rPr>
        <w:t>Step B</w:t>
      </w:r>
    </w:p>
    <w:p w:rsidR="003C6CC6" w:rsidRPr="0046738A" w:rsidRDefault="003C6CC6" w:rsidP="0046738A">
      <w:pPr>
        <w:ind w:left="1440"/>
      </w:pPr>
      <w:r w:rsidRPr="0046738A">
        <w:t xml:space="preserve">The next step is to determine the appropriate locality payment for the computed rate from step </w:t>
      </w:r>
      <w:proofErr w:type="gramStart"/>
      <w:r w:rsidRPr="0046738A">
        <w:t>A</w:t>
      </w:r>
      <w:proofErr w:type="gramEnd"/>
      <w:r w:rsidRPr="0046738A">
        <w:t xml:space="preserve"> above.  To do this, multiply the computed rate from Step </w:t>
      </w:r>
      <w:proofErr w:type="gramStart"/>
      <w:r w:rsidRPr="0046738A">
        <w:t>A</w:t>
      </w:r>
      <w:proofErr w:type="gramEnd"/>
      <w:r w:rsidRPr="0046738A">
        <w:t xml:space="preserve"> above ($61,827) by the applicable locality payment percentage (obtain percentage from the appropriate pay scale) to find the highest payable rate of pay.  The highest payable rate of basic pay is $69,073 ($61,827 x 11.72% = $69,073).</w:t>
      </w:r>
    </w:p>
    <w:p w:rsidR="003C6CC6" w:rsidRPr="0046738A" w:rsidRDefault="003C6CC6" w:rsidP="003C6CC6"/>
    <w:p w:rsidR="003C6CC6" w:rsidRPr="0046738A" w:rsidRDefault="00E85362" w:rsidP="003C6CC6">
      <w:pPr>
        <w:pStyle w:val="Heading1"/>
        <w:framePr w:hSpace="0" w:wrap="auto" w:vAnchor="margin" w:hAnchor="text" w:yAlign="inline"/>
        <w:rPr>
          <w:szCs w:val="24"/>
        </w:rPr>
      </w:pPr>
      <w:r>
        <w:rPr>
          <w:szCs w:val="24"/>
        </w:rPr>
        <w:br w:type="page"/>
      </w:r>
      <w:r w:rsidR="000F19F7">
        <w:rPr>
          <w:szCs w:val="24"/>
        </w:rPr>
        <w:lastRenderedPageBreak/>
        <w:t>Step C</w:t>
      </w:r>
    </w:p>
    <w:p w:rsidR="003C6CC6" w:rsidRPr="0046738A" w:rsidRDefault="003C6CC6" w:rsidP="0046738A">
      <w:pPr>
        <w:ind w:left="1440"/>
      </w:pPr>
      <w:r w:rsidRPr="0046738A">
        <w:t>The highest applicable rate range, after promotion, is the RUS GS-12 locality rate range.  The lowest step in the GS-12 range that exceeds $69,073 (from Step B above) is step 6 with a salary of $70,670.   Since this amount exceeds the employee’s current retained rate ($66,746) and is within the grade range for the new promoted grade, the employee’s entitlement to retained rate ceases.  (</w:t>
      </w:r>
      <w:r w:rsidRPr="009171FE">
        <w:rPr>
          <w:rStyle w:val="Strong"/>
        </w:rPr>
        <w:t>Note</w:t>
      </w:r>
      <w:r w:rsidRPr="0046738A">
        <w:t xml:space="preserve">:  If this amount does not exceed the </w:t>
      </w:r>
      <w:proofErr w:type="gramStart"/>
      <w:r w:rsidRPr="0046738A">
        <w:t>employees</w:t>
      </w:r>
      <w:proofErr w:type="gramEnd"/>
      <w:r w:rsidRPr="0046738A">
        <w:t xml:space="preserve"> current retained rate, the employees pay would be set at the step that equals or exceeds the employee’s current retained rate.)</w:t>
      </w:r>
    </w:p>
    <w:p w:rsidR="003C6CC6" w:rsidRPr="000F19F7" w:rsidRDefault="003C6CC6" w:rsidP="000F19F7">
      <w:pPr>
        <w:pStyle w:val="Heading2"/>
      </w:pPr>
      <w:r w:rsidRPr="000F19F7">
        <w:t>Salary Table 2005- RUS:</w:t>
      </w:r>
    </w:p>
    <w:tbl>
      <w:tblPr>
        <w:tblStyle w:val="TableGrid"/>
        <w:tblW w:w="1920" w:type="dxa"/>
        <w:tblInd w:w="3708" w:type="dxa"/>
        <w:tblLook w:val="04A0" w:firstRow="1" w:lastRow="0" w:firstColumn="1" w:lastColumn="0" w:noHBand="0" w:noVBand="1"/>
        <w:tblCaption w:val="Salary Table 2005-RUS"/>
      </w:tblPr>
      <w:tblGrid>
        <w:gridCol w:w="960"/>
        <w:gridCol w:w="960"/>
      </w:tblGrid>
      <w:tr w:rsidR="008F3F3A" w:rsidRPr="008F3F3A" w:rsidTr="000F19F7">
        <w:trPr>
          <w:cantSplit/>
          <w:trHeight w:val="315"/>
          <w:tblHeader/>
        </w:trPr>
        <w:tc>
          <w:tcPr>
            <w:tcW w:w="960" w:type="dxa"/>
            <w:noWrap/>
            <w:hideMark/>
          </w:tcPr>
          <w:p w:rsidR="008F3F3A" w:rsidRPr="008F3F3A" w:rsidRDefault="008F3F3A" w:rsidP="008F3F3A">
            <w:pPr>
              <w:rPr>
                <w:rFonts w:cs="Arial"/>
                <w:color w:val="000000"/>
              </w:rPr>
            </w:pPr>
            <w:r w:rsidRPr="008F3F3A">
              <w:rPr>
                <w:rFonts w:cs="Arial"/>
                <w:color w:val="000000"/>
              </w:rPr>
              <w:t>Grade</w:t>
            </w:r>
          </w:p>
        </w:tc>
        <w:tc>
          <w:tcPr>
            <w:tcW w:w="960" w:type="dxa"/>
            <w:noWrap/>
            <w:hideMark/>
          </w:tcPr>
          <w:p w:rsidR="008F3F3A" w:rsidRPr="008F3F3A" w:rsidRDefault="008F3F3A" w:rsidP="008F3F3A">
            <w:pPr>
              <w:jc w:val="right"/>
              <w:rPr>
                <w:rFonts w:cs="Arial"/>
                <w:color w:val="000000"/>
              </w:rPr>
            </w:pPr>
            <w:r w:rsidRPr="008F3F3A">
              <w:rPr>
                <w:rFonts w:cs="Arial"/>
                <w:color w:val="000000"/>
              </w:rPr>
              <w:t>12</w:t>
            </w:r>
          </w:p>
        </w:tc>
      </w:tr>
      <w:tr w:rsidR="008F3F3A" w:rsidRPr="008F3F3A" w:rsidTr="000F19F7">
        <w:trPr>
          <w:cantSplit/>
          <w:trHeight w:val="315"/>
        </w:trPr>
        <w:tc>
          <w:tcPr>
            <w:tcW w:w="960" w:type="dxa"/>
            <w:noWrap/>
            <w:hideMark/>
          </w:tcPr>
          <w:p w:rsidR="008F3F3A" w:rsidRPr="008F3F3A" w:rsidRDefault="008F3F3A" w:rsidP="008F3F3A">
            <w:pPr>
              <w:rPr>
                <w:rFonts w:cs="Arial"/>
                <w:color w:val="000000"/>
              </w:rPr>
            </w:pPr>
            <w:r w:rsidRPr="008F3F3A">
              <w:rPr>
                <w:rFonts w:cs="Arial"/>
                <w:color w:val="000000"/>
              </w:rPr>
              <w:t xml:space="preserve">Step 1 </w:t>
            </w:r>
          </w:p>
        </w:tc>
        <w:tc>
          <w:tcPr>
            <w:tcW w:w="960" w:type="dxa"/>
            <w:noWrap/>
            <w:hideMark/>
          </w:tcPr>
          <w:p w:rsidR="008F3F3A" w:rsidRPr="008F3F3A" w:rsidRDefault="008F3F3A" w:rsidP="008F3F3A">
            <w:pPr>
              <w:jc w:val="right"/>
              <w:rPr>
                <w:rFonts w:cs="Arial"/>
                <w:color w:val="000000"/>
              </w:rPr>
            </w:pPr>
            <w:r w:rsidRPr="008F3F3A">
              <w:rPr>
                <w:rFonts w:cs="Arial"/>
                <w:color w:val="000000"/>
              </w:rPr>
              <w:t>60,576</w:t>
            </w:r>
          </w:p>
        </w:tc>
      </w:tr>
      <w:tr w:rsidR="008F3F3A" w:rsidRPr="008F3F3A" w:rsidTr="000F19F7">
        <w:trPr>
          <w:cantSplit/>
          <w:trHeight w:val="315"/>
        </w:trPr>
        <w:tc>
          <w:tcPr>
            <w:tcW w:w="960" w:type="dxa"/>
            <w:noWrap/>
            <w:hideMark/>
          </w:tcPr>
          <w:p w:rsidR="008F3F3A" w:rsidRPr="008F3F3A" w:rsidRDefault="008F3F3A" w:rsidP="008F3F3A">
            <w:pPr>
              <w:rPr>
                <w:rFonts w:cs="Arial"/>
                <w:color w:val="000000"/>
              </w:rPr>
            </w:pPr>
            <w:r w:rsidRPr="008F3F3A">
              <w:rPr>
                <w:rFonts w:cs="Arial"/>
                <w:color w:val="000000"/>
              </w:rPr>
              <w:t>Step 2</w:t>
            </w:r>
          </w:p>
        </w:tc>
        <w:tc>
          <w:tcPr>
            <w:tcW w:w="960" w:type="dxa"/>
            <w:noWrap/>
            <w:hideMark/>
          </w:tcPr>
          <w:p w:rsidR="008F3F3A" w:rsidRPr="008F3F3A" w:rsidRDefault="008F3F3A" w:rsidP="008F3F3A">
            <w:pPr>
              <w:jc w:val="right"/>
              <w:rPr>
                <w:rFonts w:cs="Arial"/>
                <w:color w:val="000000"/>
              </w:rPr>
            </w:pPr>
            <w:r w:rsidRPr="008F3F3A">
              <w:rPr>
                <w:rFonts w:cs="Arial"/>
                <w:color w:val="000000"/>
              </w:rPr>
              <w:t>62,594</w:t>
            </w:r>
          </w:p>
        </w:tc>
      </w:tr>
      <w:tr w:rsidR="008F3F3A" w:rsidRPr="008F3F3A" w:rsidTr="000F19F7">
        <w:trPr>
          <w:cantSplit/>
          <w:trHeight w:val="315"/>
        </w:trPr>
        <w:tc>
          <w:tcPr>
            <w:tcW w:w="960" w:type="dxa"/>
            <w:noWrap/>
            <w:hideMark/>
          </w:tcPr>
          <w:p w:rsidR="008F3F3A" w:rsidRPr="008F3F3A" w:rsidRDefault="008F3F3A" w:rsidP="008F3F3A">
            <w:pPr>
              <w:rPr>
                <w:rFonts w:cs="Arial"/>
                <w:color w:val="000000"/>
              </w:rPr>
            </w:pPr>
            <w:r w:rsidRPr="008F3F3A">
              <w:rPr>
                <w:rFonts w:cs="Arial"/>
                <w:color w:val="000000"/>
              </w:rPr>
              <w:t>Step 3</w:t>
            </w:r>
          </w:p>
        </w:tc>
        <w:tc>
          <w:tcPr>
            <w:tcW w:w="960" w:type="dxa"/>
            <w:noWrap/>
            <w:hideMark/>
          </w:tcPr>
          <w:p w:rsidR="008F3F3A" w:rsidRPr="008F3F3A" w:rsidRDefault="008F3F3A" w:rsidP="008F3F3A">
            <w:pPr>
              <w:jc w:val="right"/>
              <w:rPr>
                <w:rFonts w:cs="Arial"/>
                <w:color w:val="000000"/>
              </w:rPr>
            </w:pPr>
            <w:r w:rsidRPr="008F3F3A">
              <w:rPr>
                <w:rFonts w:cs="Arial"/>
                <w:color w:val="000000"/>
              </w:rPr>
              <w:t>64,613</w:t>
            </w:r>
          </w:p>
        </w:tc>
      </w:tr>
      <w:tr w:rsidR="008F3F3A" w:rsidRPr="008F3F3A" w:rsidTr="000F19F7">
        <w:trPr>
          <w:cantSplit/>
          <w:trHeight w:val="315"/>
        </w:trPr>
        <w:tc>
          <w:tcPr>
            <w:tcW w:w="960" w:type="dxa"/>
            <w:noWrap/>
            <w:hideMark/>
          </w:tcPr>
          <w:p w:rsidR="008F3F3A" w:rsidRPr="008F3F3A" w:rsidRDefault="008F3F3A" w:rsidP="008F3F3A">
            <w:pPr>
              <w:rPr>
                <w:rFonts w:cs="Arial"/>
                <w:color w:val="000000"/>
              </w:rPr>
            </w:pPr>
            <w:r w:rsidRPr="008F3F3A">
              <w:rPr>
                <w:rFonts w:cs="Arial"/>
                <w:color w:val="000000"/>
              </w:rPr>
              <w:t>Step 4</w:t>
            </w:r>
          </w:p>
        </w:tc>
        <w:tc>
          <w:tcPr>
            <w:tcW w:w="960" w:type="dxa"/>
            <w:noWrap/>
            <w:hideMark/>
          </w:tcPr>
          <w:p w:rsidR="008F3F3A" w:rsidRPr="008F3F3A" w:rsidRDefault="008F3F3A" w:rsidP="008F3F3A">
            <w:pPr>
              <w:jc w:val="right"/>
              <w:rPr>
                <w:rFonts w:cs="Arial"/>
                <w:color w:val="000000"/>
              </w:rPr>
            </w:pPr>
            <w:r w:rsidRPr="008F3F3A">
              <w:rPr>
                <w:rFonts w:cs="Arial"/>
                <w:color w:val="000000"/>
              </w:rPr>
              <w:t>66,632</w:t>
            </w:r>
          </w:p>
        </w:tc>
      </w:tr>
      <w:tr w:rsidR="008F3F3A" w:rsidRPr="008F3F3A" w:rsidTr="000F19F7">
        <w:trPr>
          <w:cantSplit/>
          <w:trHeight w:val="315"/>
        </w:trPr>
        <w:tc>
          <w:tcPr>
            <w:tcW w:w="960" w:type="dxa"/>
            <w:noWrap/>
            <w:hideMark/>
          </w:tcPr>
          <w:p w:rsidR="008F3F3A" w:rsidRPr="008F3F3A" w:rsidRDefault="008F3F3A" w:rsidP="008F3F3A">
            <w:pPr>
              <w:rPr>
                <w:rFonts w:cs="Arial"/>
                <w:color w:val="000000"/>
              </w:rPr>
            </w:pPr>
            <w:r w:rsidRPr="008F3F3A">
              <w:rPr>
                <w:rFonts w:cs="Arial"/>
                <w:color w:val="000000"/>
              </w:rPr>
              <w:t>Step 5</w:t>
            </w:r>
          </w:p>
        </w:tc>
        <w:tc>
          <w:tcPr>
            <w:tcW w:w="960" w:type="dxa"/>
            <w:noWrap/>
            <w:hideMark/>
          </w:tcPr>
          <w:p w:rsidR="008F3F3A" w:rsidRPr="008F3F3A" w:rsidRDefault="008F3F3A" w:rsidP="008F3F3A">
            <w:pPr>
              <w:jc w:val="right"/>
              <w:rPr>
                <w:rFonts w:cs="Arial"/>
                <w:color w:val="000000"/>
              </w:rPr>
            </w:pPr>
            <w:r w:rsidRPr="008F3F3A">
              <w:rPr>
                <w:rFonts w:cs="Arial"/>
                <w:color w:val="000000"/>
              </w:rPr>
              <w:t>68,651</w:t>
            </w:r>
          </w:p>
        </w:tc>
      </w:tr>
      <w:tr w:rsidR="008F3F3A" w:rsidRPr="008F3F3A" w:rsidTr="000F19F7">
        <w:trPr>
          <w:cantSplit/>
          <w:trHeight w:val="315"/>
        </w:trPr>
        <w:tc>
          <w:tcPr>
            <w:tcW w:w="960" w:type="dxa"/>
            <w:noWrap/>
            <w:hideMark/>
          </w:tcPr>
          <w:p w:rsidR="008F3F3A" w:rsidRPr="008F3F3A" w:rsidRDefault="008F3F3A" w:rsidP="008F3F3A">
            <w:pPr>
              <w:rPr>
                <w:rFonts w:cs="Arial"/>
                <w:color w:val="000000"/>
              </w:rPr>
            </w:pPr>
            <w:r w:rsidRPr="008F3F3A">
              <w:rPr>
                <w:rFonts w:cs="Arial"/>
                <w:color w:val="000000"/>
              </w:rPr>
              <w:t>Step 6</w:t>
            </w:r>
          </w:p>
        </w:tc>
        <w:tc>
          <w:tcPr>
            <w:tcW w:w="960" w:type="dxa"/>
            <w:noWrap/>
            <w:hideMark/>
          </w:tcPr>
          <w:p w:rsidR="008F3F3A" w:rsidRPr="008F3F3A" w:rsidRDefault="008F3F3A" w:rsidP="008F3F3A">
            <w:pPr>
              <w:jc w:val="right"/>
              <w:rPr>
                <w:rFonts w:cs="Arial"/>
                <w:color w:val="000000"/>
              </w:rPr>
            </w:pPr>
            <w:r w:rsidRPr="008F3F3A">
              <w:rPr>
                <w:rFonts w:cs="Arial"/>
                <w:color w:val="000000"/>
              </w:rPr>
              <w:t>70,670</w:t>
            </w:r>
          </w:p>
        </w:tc>
      </w:tr>
      <w:tr w:rsidR="008F3F3A" w:rsidRPr="008F3F3A" w:rsidTr="000F19F7">
        <w:trPr>
          <w:cantSplit/>
          <w:trHeight w:val="315"/>
        </w:trPr>
        <w:tc>
          <w:tcPr>
            <w:tcW w:w="960" w:type="dxa"/>
            <w:noWrap/>
            <w:hideMark/>
          </w:tcPr>
          <w:p w:rsidR="008F3F3A" w:rsidRPr="008F3F3A" w:rsidRDefault="008F3F3A" w:rsidP="008F3F3A">
            <w:pPr>
              <w:rPr>
                <w:rFonts w:cs="Arial"/>
                <w:color w:val="000000"/>
              </w:rPr>
            </w:pPr>
            <w:r w:rsidRPr="008F3F3A">
              <w:rPr>
                <w:rFonts w:cs="Arial"/>
                <w:color w:val="000000"/>
              </w:rPr>
              <w:t>Step 7</w:t>
            </w:r>
          </w:p>
        </w:tc>
        <w:tc>
          <w:tcPr>
            <w:tcW w:w="960" w:type="dxa"/>
            <w:noWrap/>
            <w:hideMark/>
          </w:tcPr>
          <w:p w:rsidR="008F3F3A" w:rsidRPr="008F3F3A" w:rsidRDefault="008F3F3A" w:rsidP="008F3F3A">
            <w:pPr>
              <w:jc w:val="right"/>
              <w:rPr>
                <w:rFonts w:cs="Arial"/>
                <w:color w:val="000000"/>
              </w:rPr>
            </w:pPr>
            <w:r w:rsidRPr="008F3F3A">
              <w:rPr>
                <w:rFonts w:cs="Arial"/>
                <w:color w:val="000000"/>
              </w:rPr>
              <w:t>72,688</w:t>
            </w:r>
          </w:p>
        </w:tc>
      </w:tr>
      <w:tr w:rsidR="008F3F3A" w:rsidRPr="008F3F3A" w:rsidTr="000F19F7">
        <w:trPr>
          <w:cantSplit/>
          <w:trHeight w:val="315"/>
        </w:trPr>
        <w:tc>
          <w:tcPr>
            <w:tcW w:w="960" w:type="dxa"/>
            <w:noWrap/>
            <w:hideMark/>
          </w:tcPr>
          <w:p w:rsidR="008F3F3A" w:rsidRPr="008F3F3A" w:rsidRDefault="008F3F3A" w:rsidP="008F3F3A">
            <w:pPr>
              <w:rPr>
                <w:rFonts w:cs="Arial"/>
                <w:color w:val="000000"/>
              </w:rPr>
            </w:pPr>
            <w:r w:rsidRPr="008F3F3A">
              <w:rPr>
                <w:rFonts w:cs="Arial"/>
                <w:color w:val="000000"/>
              </w:rPr>
              <w:t>Step 8</w:t>
            </w:r>
          </w:p>
        </w:tc>
        <w:tc>
          <w:tcPr>
            <w:tcW w:w="960" w:type="dxa"/>
            <w:noWrap/>
            <w:hideMark/>
          </w:tcPr>
          <w:p w:rsidR="008F3F3A" w:rsidRPr="008F3F3A" w:rsidRDefault="008F3F3A" w:rsidP="008F3F3A">
            <w:pPr>
              <w:jc w:val="right"/>
              <w:rPr>
                <w:rFonts w:cs="Arial"/>
                <w:color w:val="000000"/>
              </w:rPr>
            </w:pPr>
            <w:r w:rsidRPr="008F3F3A">
              <w:rPr>
                <w:rFonts w:cs="Arial"/>
                <w:color w:val="000000"/>
              </w:rPr>
              <w:t>74,707</w:t>
            </w:r>
          </w:p>
        </w:tc>
      </w:tr>
      <w:tr w:rsidR="008F3F3A" w:rsidRPr="008F3F3A" w:rsidTr="000F19F7">
        <w:trPr>
          <w:cantSplit/>
          <w:trHeight w:val="315"/>
        </w:trPr>
        <w:tc>
          <w:tcPr>
            <w:tcW w:w="960" w:type="dxa"/>
            <w:noWrap/>
            <w:hideMark/>
          </w:tcPr>
          <w:p w:rsidR="008F3F3A" w:rsidRPr="008F3F3A" w:rsidRDefault="008F3F3A" w:rsidP="008F3F3A">
            <w:pPr>
              <w:rPr>
                <w:rFonts w:cs="Arial"/>
                <w:color w:val="000000"/>
              </w:rPr>
            </w:pPr>
            <w:r w:rsidRPr="008F3F3A">
              <w:rPr>
                <w:rFonts w:cs="Arial"/>
                <w:color w:val="000000"/>
              </w:rPr>
              <w:t>Step 9</w:t>
            </w:r>
          </w:p>
        </w:tc>
        <w:tc>
          <w:tcPr>
            <w:tcW w:w="960" w:type="dxa"/>
            <w:noWrap/>
            <w:hideMark/>
          </w:tcPr>
          <w:p w:rsidR="008F3F3A" w:rsidRPr="008F3F3A" w:rsidRDefault="008F3F3A" w:rsidP="008F3F3A">
            <w:pPr>
              <w:jc w:val="right"/>
              <w:rPr>
                <w:rFonts w:cs="Arial"/>
                <w:color w:val="000000"/>
              </w:rPr>
            </w:pPr>
            <w:r w:rsidRPr="008F3F3A">
              <w:rPr>
                <w:rFonts w:cs="Arial"/>
                <w:color w:val="000000"/>
              </w:rPr>
              <w:t>76,726</w:t>
            </w:r>
          </w:p>
        </w:tc>
      </w:tr>
      <w:tr w:rsidR="008F3F3A" w:rsidRPr="008F3F3A" w:rsidTr="000F19F7">
        <w:trPr>
          <w:cantSplit/>
          <w:trHeight w:val="315"/>
        </w:trPr>
        <w:tc>
          <w:tcPr>
            <w:tcW w:w="960" w:type="dxa"/>
            <w:noWrap/>
            <w:hideMark/>
          </w:tcPr>
          <w:p w:rsidR="008F3F3A" w:rsidRPr="008F3F3A" w:rsidRDefault="008F3F3A" w:rsidP="008F3F3A">
            <w:pPr>
              <w:rPr>
                <w:rFonts w:cs="Arial"/>
                <w:color w:val="000000"/>
              </w:rPr>
            </w:pPr>
            <w:r w:rsidRPr="008F3F3A">
              <w:rPr>
                <w:rFonts w:cs="Arial"/>
                <w:color w:val="000000"/>
              </w:rPr>
              <w:t>Step 10</w:t>
            </w:r>
          </w:p>
        </w:tc>
        <w:tc>
          <w:tcPr>
            <w:tcW w:w="960" w:type="dxa"/>
            <w:noWrap/>
            <w:hideMark/>
          </w:tcPr>
          <w:p w:rsidR="008F3F3A" w:rsidRPr="008F3F3A" w:rsidRDefault="008F3F3A" w:rsidP="008F3F3A">
            <w:pPr>
              <w:jc w:val="right"/>
              <w:rPr>
                <w:rFonts w:cs="Arial"/>
                <w:color w:val="000000"/>
              </w:rPr>
            </w:pPr>
            <w:r w:rsidRPr="008F3F3A">
              <w:rPr>
                <w:rFonts w:cs="Arial"/>
                <w:color w:val="000000"/>
              </w:rPr>
              <w:t>78,745</w:t>
            </w:r>
          </w:p>
        </w:tc>
      </w:tr>
    </w:tbl>
    <w:p w:rsidR="003C6CC6" w:rsidRPr="0046738A" w:rsidRDefault="003C6CC6" w:rsidP="003C6CC6"/>
    <w:p w:rsidR="00682BE7" w:rsidRPr="0046738A" w:rsidRDefault="003C6CC6" w:rsidP="00E85362">
      <w:pPr>
        <w:ind w:left="1440"/>
      </w:pPr>
      <w:r w:rsidRPr="0046738A">
        <w:t>New Pay Plan/Series/Grade/Step: GS-301-12, Step 6, $70,670.</w:t>
      </w:r>
    </w:p>
    <w:p w:rsidR="00682BE7" w:rsidRPr="009171FE" w:rsidRDefault="00682BE7" w:rsidP="009171FE">
      <w:pPr>
        <w:spacing w:before="240"/>
      </w:pPr>
      <w:r w:rsidRPr="009171FE">
        <w:rPr>
          <w:rStyle w:val="Strong"/>
        </w:rPr>
        <w:t>Employee Name:</w:t>
      </w:r>
      <w:r w:rsidRPr="009171FE">
        <w:t xml:space="preserve">  </w:t>
      </w:r>
      <w:r w:rsidRPr="009171FE">
        <w:rPr>
          <w:rFonts w:cs="Arial"/>
          <w:bCs/>
        </w:rPr>
        <w:t>Bobby Jones</w:t>
      </w:r>
      <w:r w:rsidRPr="009171FE">
        <w:t xml:space="preserve"> </w:t>
      </w:r>
    </w:p>
    <w:p w:rsidR="00682BE7" w:rsidRPr="009171FE" w:rsidRDefault="00682BE7" w:rsidP="009171FE">
      <w:r w:rsidRPr="009171FE">
        <w:rPr>
          <w:rStyle w:val="Strong"/>
        </w:rPr>
        <w:t>New Position Title:</w:t>
      </w:r>
      <w:r w:rsidRPr="009171FE">
        <w:t xml:space="preserve">  Staff Assistant </w:t>
      </w:r>
    </w:p>
    <w:p w:rsidR="00682BE7" w:rsidRPr="009171FE" w:rsidRDefault="00682BE7" w:rsidP="009171FE">
      <w:r w:rsidRPr="009171FE">
        <w:rPr>
          <w:rStyle w:val="Strong"/>
        </w:rPr>
        <w:t>New Pay Plan, Series, Grade and Step:</w:t>
      </w:r>
      <w:r w:rsidRPr="009171FE">
        <w:t xml:space="preserve">  GS-301-12/6</w:t>
      </w:r>
    </w:p>
    <w:p w:rsidR="00682BE7" w:rsidRPr="009171FE" w:rsidRDefault="00682BE7" w:rsidP="009171FE">
      <w:r w:rsidRPr="009171FE">
        <w:rPr>
          <w:rStyle w:val="Strong"/>
        </w:rPr>
        <w:t>New Rate of Basic Pay:</w:t>
      </w:r>
      <w:r w:rsidRPr="009171FE">
        <w:t xml:space="preserve">  $70,670</w:t>
      </w:r>
    </w:p>
    <w:sectPr w:rsidR="00682BE7" w:rsidRPr="009171FE">
      <w:headerReference w:type="even" r:id="rId9"/>
      <w:headerReference w:type="first" r:id="rId10"/>
      <w:pgSz w:w="12240" w:h="15840" w:code="1"/>
      <w:pgMar w:top="36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880" w:rsidRDefault="00BF2880">
      <w:r>
        <w:separator/>
      </w:r>
    </w:p>
  </w:endnote>
  <w:endnote w:type="continuationSeparator" w:id="0">
    <w:p w:rsidR="00BF2880" w:rsidRDefault="00BF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880" w:rsidRDefault="00BF2880">
      <w:r>
        <w:separator/>
      </w:r>
    </w:p>
  </w:footnote>
  <w:footnote w:type="continuationSeparator" w:id="0">
    <w:p w:rsidR="00BF2880" w:rsidRDefault="00BF2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BE7" w:rsidRDefault="000F19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240;mso-position-horizontal:center;mso-position-horizontal-relative:margin;mso-position-vertical:center;mso-position-vertical-relative:margin" wrapcoords="21302 2421 14003 2421 13966 2793 14561 4562 14561 8752 11619 2328 11470 1955 10502 9124 8081 3817 7188 2141 7001 2514 5288 2421 4841 2421 4841 2886 5437 4934 5400 6890 3426 3352 2942 2514 223 2421 74 2514 112 3072 670 5586 521 15828 0 16479 74 16572 186 16945 2644 16852 3240 16293 3724 15362 3910 15828 5102 17131 5214 17038 6108 17131 6703 16852 6741 16572 6108 12941 7039 15269 8417 17503 8603 17038 10577 16945 10577 16386 10167 14617 10390 13034 11582 16107 12550 17690 12811 17038 15306 16945 15902 16852 15902 16386 15269 14803 15269 10521 15865 9869 18583 16666 19217 17969 19552 17038 20371 16945 20520 16852 20446 16200 19924 13686 19924 5307 20036 3538 21041 5586 21377 5959 21451 4934 21414 2700 21302 2421" fillcolor="black"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BE7" w:rsidRDefault="000F19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264;mso-position-horizontal:center;mso-position-horizontal-relative:margin;mso-position-vertical:center;mso-position-vertical-relative:margin" wrapcoords="21302 2421 14003 2421 13966 2793 14561 4562 14561 8752 11619 2328 11470 1955 10502 9124 8081 3817 7188 2141 7001 2514 5288 2421 4841 2421 4841 2886 5437 4934 5400 6890 3426 3352 2942 2514 223 2421 74 2514 112 3072 670 5586 521 15828 0 16479 74 16572 186 16945 2644 16852 3240 16293 3724 15362 3910 15828 5102 17131 5214 17038 6108 17131 6703 16852 6741 16572 6108 12941 7039 15269 8417 17503 8603 17038 10577 16945 10577 16386 10167 14617 10390 13034 11582 16107 12550 17690 12811 17038 15306 16945 15902 16852 15902 16386 15269 14803 15269 10521 15865 9869 18583 16666 19217 17969 19552 17038 20371 16945 20520 16852 20446 16200 19924 13686 19924 5307 20036 3538 21041 5586 21377 5959 21451 4934 21414 2700 21302 2421" fillcolor="black"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48BE2AAE"/>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D274446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33F6B2A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AC64F02C"/>
    <w:lvl w:ilvl="0">
      <w:start w:val="1"/>
      <w:numFmt w:val="bullet"/>
      <w:lvlText w:val=""/>
      <w:lvlJc w:val="left"/>
      <w:pPr>
        <w:tabs>
          <w:tab w:val="num" w:pos="720"/>
        </w:tabs>
        <w:ind w:left="720" w:hanging="360"/>
      </w:pPr>
      <w:rPr>
        <w:rFonts w:ascii="Symbol" w:hAnsi="Symbol" w:hint="default"/>
      </w:rPr>
    </w:lvl>
  </w:abstractNum>
  <w:abstractNum w:abstractNumId="4">
    <w:nsid w:val="FFFFFF89"/>
    <w:multiLevelType w:val="singleLevel"/>
    <w:tmpl w:val="FBAED96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C84"/>
    <w:rsid w:val="000F19F7"/>
    <w:rsid w:val="00141CCE"/>
    <w:rsid w:val="001F1DCA"/>
    <w:rsid w:val="00263236"/>
    <w:rsid w:val="002F640F"/>
    <w:rsid w:val="003C347D"/>
    <w:rsid w:val="003C6CC6"/>
    <w:rsid w:val="0046738A"/>
    <w:rsid w:val="004F1825"/>
    <w:rsid w:val="00682BE7"/>
    <w:rsid w:val="00707D7F"/>
    <w:rsid w:val="00756C84"/>
    <w:rsid w:val="00800F92"/>
    <w:rsid w:val="00875208"/>
    <w:rsid w:val="008A35AD"/>
    <w:rsid w:val="008F3F3A"/>
    <w:rsid w:val="009171FE"/>
    <w:rsid w:val="009460AD"/>
    <w:rsid w:val="00BF2880"/>
    <w:rsid w:val="00D64263"/>
    <w:rsid w:val="00D70766"/>
    <w:rsid w:val="00E01D22"/>
    <w:rsid w:val="00E85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9F7"/>
    <w:rPr>
      <w:rFonts w:ascii="Arial" w:hAnsi="Arial"/>
      <w:sz w:val="24"/>
      <w:szCs w:val="24"/>
    </w:rPr>
  </w:style>
  <w:style w:type="paragraph" w:styleId="Heading1">
    <w:name w:val="heading 1"/>
    <w:basedOn w:val="Normal"/>
    <w:next w:val="Normal"/>
    <w:qFormat/>
    <w:rsid w:val="003C6CC6"/>
    <w:pPr>
      <w:framePr w:hSpace="180" w:wrap="around" w:vAnchor="text" w:hAnchor="margin" w:y="-20"/>
      <w:spacing w:before="100" w:beforeAutospacing="1" w:after="100" w:afterAutospacing="1"/>
      <w:outlineLvl w:val="0"/>
    </w:pPr>
    <w:rPr>
      <w:rFonts w:cs="Arial"/>
      <w:b/>
      <w:bCs/>
      <w:color w:val="800000"/>
      <w:szCs w:val="20"/>
    </w:rPr>
  </w:style>
  <w:style w:type="paragraph" w:styleId="Heading2">
    <w:name w:val="heading 2"/>
    <w:basedOn w:val="Normal"/>
    <w:next w:val="Normal"/>
    <w:qFormat/>
    <w:rsid w:val="000F19F7"/>
    <w:pPr>
      <w:ind w:left="360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100" w:beforeAutospacing="1" w:after="100" w:afterAutospacing="1"/>
    </w:pPr>
    <w:rPr>
      <w:rFonts w:cs="Arial"/>
      <w:color w:val="000000"/>
      <w:sz w:val="19"/>
      <w:szCs w:val="19"/>
    </w:rPr>
  </w:style>
  <w:style w:type="paragraph" w:styleId="NormalWeb">
    <w:name w:val="Normal (Web)"/>
    <w:basedOn w:val="Normal"/>
    <w:pPr>
      <w:spacing w:before="100" w:beforeAutospacing="1" w:after="100" w:afterAutospacing="1"/>
    </w:pPr>
    <w:rPr>
      <w:rFonts w:ascii="Verdana" w:hAnsi="Verdana"/>
      <w:color w:val="000000"/>
      <w:sz w:val="18"/>
      <w:szCs w:val="18"/>
    </w:rPr>
  </w:style>
  <w:style w:type="paragraph" w:styleId="Title">
    <w:name w:val="Title"/>
    <w:basedOn w:val="Normal"/>
    <w:qFormat/>
    <w:pPr>
      <w:pBdr>
        <w:top w:val="single" w:sz="4" w:space="1" w:color="auto"/>
        <w:left w:val="single" w:sz="4" w:space="4" w:color="auto"/>
        <w:bottom w:val="single" w:sz="4" w:space="1" w:color="auto"/>
        <w:right w:val="single" w:sz="4" w:space="4" w:color="auto"/>
      </w:pBdr>
      <w:jc w:val="center"/>
    </w:pPr>
    <w:rPr>
      <w:rFonts w:cs="Arial"/>
      <w:b/>
      <w:sz w:val="28"/>
      <w:szCs w:val="28"/>
    </w:rPr>
  </w:style>
  <w:style w:type="paragraph" w:styleId="BodyText2">
    <w:name w:val="Body Text 2"/>
    <w:basedOn w:val="Normal"/>
    <w:pPr>
      <w:framePr w:hSpace="180" w:wrap="around" w:vAnchor="text" w:hAnchor="margin" w:y="-20"/>
      <w:spacing w:before="100" w:beforeAutospacing="1" w:after="100" w:afterAutospacing="1"/>
      <w:suppressOverlap/>
    </w:pPr>
    <w:rPr>
      <w:rFonts w:cs="Arial"/>
      <w:sz w:val="18"/>
    </w:rPr>
  </w:style>
  <w:style w:type="table" w:customStyle="1" w:styleId="TableStyle1">
    <w:name w:val="Table Style 1"/>
    <w:basedOn w:val="TableNormal"/>
    <w:rsid w:val="004F1825"/>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46738A"/>
    <w:rPr>
      <w:rFonts w:ascii="Arial" w:hAnsi="Arial"/>
      <w:b/>
      <w:bCs/>
      <w:sz w:val="24"/>
    </w:rPr>
  </w:style>
  <w:style w:type="table" w:styleId="TableGrid">
    <w:name w:val="Table Grid"/>
    <w:basedOn w:val="TableNormal"/>
    <w:rsid w:val="00141C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19F7"/>
    <w:rPr>
      <w:rFonts w:ascii="Arial" w:hAnsi="Arial"/>
      <w:sz w:val="24"/>
      <w:szCs w:val="24"/>
    </w:rPr>
  </w:style>
  <w:style w:type="paragraph" w:styleId="Heading1">
    <w:name w:val="heading 1"/>
    <w:basedOn w:val="Normal"/>
    <w:next w:val="Normal"/>
    <w:qFormat/>
    <w:rsid w:val="003C6CC6"/>
    <w:pPr>
      <w:framePr w:hSpace="180" w:wrap="around" w:vAnchor="text" w:hAnchor="margin" w:y="-20"/>
      <w:spacing w:before="100" w:beforeAutospacing="1" w:after="100" w:afterAutospacing="1"/>
      <w:outlineLvl w:val="0"/>
    </w:pPr>
    <w:rPr>
      <w:rFonts w:cs="Arial"/>
      <w:b/>
      <w:bCs/>
      <w:color w:val="800000"/>
      <w:szCs w:val="20"/>
    </w:rPr>
  </w:style>
  <w:style w:type="paragraph" w:styleId="Heading2">
    <w:name w:val="heading 2"/>
    <w:basedOn w:val="Normal"/>
    <w:next w:val="Normal"/>
    <w:qFormat/>
    <w:rsid w:val="000F19F7"/>
    <w:pPr>
      <w:ind w:left="360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100" w:beforeAutospacing="1" w:after="100" w:afterAutospacing="1"/>
    </w:pPr>
    <w:rPr>
      <w:rFonts w:cs="Arial"/>
      <w:color w:val="000000"/>
      <w:sz w:val="19"/>
      <w:szCs w:val="19"/>
    </w:rPr>
  </w:style>
  <w:style w:type="paragraph" w:styleId="NormalWeb">
    <w:name w:val="Normal (Web)"/>
    <w:basedOn w:val="Normal"/>
    <w:pPr>
      <w:spacing w:before="100" w:beforeAutospacing="1" w:after="100" w:afterAutospacing="1"/>
    </w:pPr>
    <w:rPr>
      <w:rFonts w:ascii="Verdana" w:hAnsi="Verdana"/>
      <w:color w:val="000000"/>
      <w:sz w:val="18"/>
      <w:szCs w:val="18"/>
    </w:rPr>
  </w:style>
  <w:style w:type="paragraph" w:styleId="Title">
    <w:name w:val="Title"/>
    <w:basedOn w:val="Normal"/>
    <w:qFormat/>
    <w:pPr>
      <w:pBdr>
        <w:top w:val="single" w:sz="4" w:space="1" w:color="auto"/>
        <w:left w:val="single" w:sz="4" w:space="4" w:color="auto"/>
        <w:bottom w:val="single" w:sz="4" w:space="1" w:color="auto"/>
        <w:right w:val="single" w:sz="4" w:space="4" w:color="auto"/>
      </w:pBdr>
      <w:jc w:val="center"/>
    </w:pPr>
    <w:rPr>
      <w:rFonts w:cs="Arial"/>
      <w:b/>
      <w:sz w:val="28"/>
      <w:szCs w:val="28"/>
    </w:rPr>
  </w:style>
  <w:style w:type="paragraph" w:styleId="BodyText2">
    <w:name w:val="Body Text 2"/>
    <w:basedOn w:val="Normal"/>
    <w:pPr>
      <w:framePr w:hSpace="180" w:wrap="around" w:vAnchor="text" w:hAnchor="margin" w:y="-20"/>
      <w:spacing w:before="100" w:beforeAutospacing="1" w:after="100" w:afterAutospacing="1"/>
      <w:suppressOverlap/>
    </w:pPr>
    <w:rPr>
      <w:rFonts w:cs="Arial"/>
      <w:sz w:val="18"/>
    </w:rPr>
  </w:style>
  <w:style w:type="table" w:customStyle="1" w:styleId="TableStyle1">
    <w:name w:val="Table Style 1"/>
    <w:basedOn w:val="TableNormal"/>
    <w:rsid w:val="004F1825"/>
    <w:rPr>
      <w:rFonts w:ascii="Arial" w:hAnsi="Arial"/>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46738A"/>
    <w:rPr>
      <w:rFonts w:ascii="Arial" w:hAnsi="Arial"/>
      <w:b/>
      <w:bCs/>
      <w:sz w:val="24"/>
    </w:rPr>
  </w:style>
  <w:style w:type="table" w:styleId="TableGrid">
    <w:name w:val="Table Grid"/>
    <w:basedOn w:val="TableNormal"/>
    <w:rsid w:val="00141C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46553">
      <w:bodyDiv w:val="1"/>
      <w:marLeft w:val="0"/>
      <w:marRight w:val="0"/>
      <w:marTop w:val="0"/>
      <w:marBottom w:val="0"/>
      <w:divBdr>
        <w:top w:val="none" w:sz="0" w:space="0" w:color="auto"/>
        <w:left w:val="none" w:sz="0" w:space="0" w:color="auto"/>
        <w:bottom w:val="none" w:sz="0" w:space="0" w:color="auto"/>
        <w:right w:val="none" w:sz="0" w:space="0" w:color="auto"/>
      </w:divBdr>
    </w:div>
    <w:div w:id="408968744">
      <w:bodyDiv w:val="1"/>
      <w:marLeft w:val="0"/>
      <w:marRight w:val="0"/>
      <w:marTop w:val="0"/>
      <w:marBottom w:val="0"/>
      <w:divBdr>
        <w:top w:val="none" w:sz="0" w:space="0" w:color="auto"/>
        <w:left w:val="none" w:sz="0" w:space="0" w:color="auto"/>
        <w:bottom w:val="none" w:sz="0" w:space="0" w:color="auto"/>
        <w:right w:val="none" w:sz="0" w:space="0" w:color="auto"/>
      </w:divBdr>
    </w:div>
    <w:div w:id="78473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1275F-F321-4EBC-A67C-69FA77E8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1865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Example - Promotion for Employee on Pay Retention</vt:lpstr>
    </vt:vector>
  </TitlesOfParts>
  <Company>CDC/ATSDR</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 Promotion for Employee on Pay Retention</dc:title>
  <dc:subject>Pay Setting Worksheets</dc:subject>
  <dc:creator>U.S. Department of Health and Human Services (HHS)</dc:creator>
  <cp:keywords>pay setting, pay setting worksheet, promotion, pay retention, promotion with pay retention</cp:keywords>
  <dc:description>Passed word accessibility checker 8/23/2012</dc:description>
  <cp:lastModifiedBy>Pham, Kimlinh (NIH/OD) [E]</cp:lastModifiedBy>
  <cp:revision>2</cp:revision>
  <cp:lastPrinted>2005-07-20T15:47:00Z</cp:lastPrinted>
  <dcterms:created xsi:type="dcterms:W3CDTF">2012-08-28T18:06:00Z</dcterms:created>
  <dcterms:modified xsi:type="dcterms:W3CDTF">2012-08-28T18:06:00Z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